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footnotes.xml" ContentType="application/vnd.openxmlformats-officedocument.wordprocessingml.footnotes+xml"/>
  <Override PartName="/word/media/image2.jpeg" ContentType="image/jpeg"/>
  <Override PartName="/word/media/image1.emf" ContentType="image/x-emf"/>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64.35pt;height:66.7pt" o:ole="">
            <v:imagedata r:id="rId3" o:title=""/>
          </v:shape>
          <o:OLEObject Type="Embed" ProgID="" ShapeID="ole_rId2" DrawAspect="Content" ObjectID="_347759708" r:id="rId2"/>
        </w:object>
      </w:r>
    </w:p>
    <w:p>
      <w:pPr>
        <w:pStyle w:val="Normal"/>
        <w:jc w:val="center"/>
        <w:rPr>
          <w:rFonts w:ascii="Garamond" w:hAnsi="Garamond" w:eastAsia="Lucida Sans Unicode" w:cs="Garamond"/>
          <w:b/>
          <w:b/>
          <w:color w:val="00000A"/>
          <w:sz w:val="22"/>
          <w:szCs w:val="22"/>
          <w:lang w:val="pt-BR" w:eastAsia="zxx" w:bidi="zxx"/>
        </w:rPr>
      </w:pPr>
      <w:r>
        <w:rPr>
          <w:rFonts w:eastAsia="Lucida Sans Unicode" w:cs="Garamond" w:ascii="Garamond" w:hAnsi="Garamond"/>
          <w:b/>
          <w:color w:val="00000A"/>
          <w:sz w:val="22"/>
          <w:szCs w:val="22"/>
          <w:lang w:val="pt-BR" w:eastAsia="zxx" w:bidi="zxx"/>
        </w:rPr>
        <w:t>MINISTÉRIO PÚBLICO DO ESTADO DE SERGIPE</w:t>
      </w:r>
    </w:p>
    <w:p>
      <w:pPr>
        <w:pStyle w:val="Normal"/>
        <w:jc w:val="center"/>
        <w:rPr>
          <w:rFonts w:ascii="Garamond" w:hAnsi="Garamond" w:eastAsia="Lucida Sans Unicode" w:cs="Garamond"/>
          <w:b/>
          <w:b/>
          <w:color w:val="00000A"/>
          <w:sz w:val="22"/>
          <w:szCs w:val="22"/>
          <w:lang w:val="pt-BR" w:eastAsia="zxx" w:bidi="zxx"/>
        </w:rPr>
      </w:pPr>
      <w:r>
        <w:rPr>
          <w:rFonts w:eastAsia="Lucida Sans Unicode" w:cs="Garamond" w:ascii="Garamond" w:hAnsi="Garamond"/>
          <w:b/>
          <w:color w:val="00000A"/>
          <w:sz w:val="22"/>
          <w:szCs w:val="22"/>
          <w:lang w:val="pt-BR" w:eastAsia="zxx" w:bidi="zxx"/>
        </w:rPr>
        <w:t>CORREGEDORIA GERAL</w:t>
      </w:r>
    </w:p>
    <w:p>
      <w:pPr>
        <w:pStyle w:val="Normal"/>
        <w:jc w:val="center"/>
        <w:rPr>
          <w:rFonts w:ascii="Garamond" w:hAnsi="Garamond" w:eastAsia="Lucida Sans Unicode" w:cs="Garamond"/>
          <w:b/>
          <w:b/>
          <w:color w:val="00000A"/>
          <w:sz w:val="22"/>
          <w:szCs w:val="22"/>
          <w:lang w:val="pt-BR" w:eastAsia="zxx" w:bidi="zxx"/>
        </w:rPr>
      </w:pPr>
      <w:r>
        <w:rPr>
          <w:rFonts w:eastAsia="Lucida Sans Unicode" w:cs="Garamond" w:ascii="Garamond" w:hAnsi="Garamond"/>
          <w:b/>
          <w:color w:val="00000A"/>
          <w:sz w:val="22"/>
          <w:szCs w:val="22"/>
          <w:lang w:val="pt-BR" w:eastAsia="zxx" w:bidi="zxx"/>
        </w:rPr>
      </w:r>
    </w:p>
    <w:p>
      <w:pPr>
        <w:pStyle w:val="Normal"/>
        <w:jc w:val="center"/>
        <w:rPr>
          <w:rFonts w:ascii="Times New Roman" w:hAnsi="Times New Roman" w:eastAsia="Lucida Sans Unicode" w:cs="Times New Roman"/>
          <w:b/>
          <w:b/>
          <w:color w:val="00000A"/>
          <w:sz w:val="24"/>
          <w:szCs w:val="24"/>
          <w:lang w:val="pt-BR" w:eastAsia="zxx" w:bidi="ar-SA"/>
        </w:rPr>
      </w:pPr>
      <w:r>
        <w:rPr>
          <w:rFonts w:eastAsia="Lucida Sans Unicode" w:cs="Times New Roman"/>
          <w:b/>
          <w:color w:val="00000A"/>
          <w:sz w:val="22"/>
          <w:szCs w:val="22"/>
          <w:lang w:val="pt-BR" w:eastAsia="zxx" w:bidi="ar-SA"/>
        </w:rPr>
        <w:t>RELATÓRIO FINAL DE CORREIÇÃO ORDINÁRIA Nº 33/2018</w:t>
      </w:r>
    </w:p>
    <w:p>
      <w:pPr>
        <w:pStyle w:val="Normal"/>
        <w:jc w:val="center"/>
        <w:rPr/>
      </w:pPr>
      <w:r>
        <w:rPr/>
      </w:r>
    </w:p>
    <w:p>
      <w:pPr>
        <w:pStyle w:val="Normal"/>
        <w:spacing w:lineRule="auto" w:line="360"/>
        <w:jc w:val="both"/>
        <w:rPr/>
      </w:pPr>
      <w:r>
        <w:rPr>
          <w:rFonts w:eastAsia="Lucida Sans Unicode" w:cs="Times New Roman"/>
          <w:b/>
          <w:bCs/>
          <w:sz w:val="22"/>
          <w:szCs w:val="22"/>
          <w:lang w:bidi="ar-SA"/>
        </w:rPr>
        <w:t xml:space="preserve">DATA DA VISITA: </w:t>
      </w:r>
      <w:r>
        <w:rPr>
          <w:rFonts w:eastAsia="Lucida Sans Unicode" w:cs="Times New Roman"/>
          <w:sz w:val="22"/>
          <w:szCs w:val="22"/>
          <w:lang w:bidi="ar-SA"/>
        </w:rPr>
        <w:t>24/07/2018</w:t>
      </w:r>
    </w:p>
    <w:p>
      <w:pPr>
        <w:pStyle w:val="Normal"/>
        <w:spacing w:lineRule="auto" w:line="360"/>
        <w:jc w:val="both"/>
        <w:rPr/>
      </w:pPr>
      <w:r>
        <w:rPr>
          <w:rFonts w:eastAsia="Lucida Sans Unicode" w:cs="Times New Roman"/>
          <w:b/>
          <w:bCs/>
          <w:sz w:val="22"/>
          <w:szCs w:val="22"/>
          <w:lang w:bidi="ar-SA"/>
        </w:rPr>
        <w:t xml:space="preserve">CENTRO DE APOIO OPERACIONAL/UNIDADE: </w:t>
      </w:r>
      <w:r>
        <w:rPr>
          <w:rFonts w:eastAsia="Lucida Sans Unicode" w:cs="Times New Roman"/>
          <w:sz w:val="22"/>
          <w:szCs w:val="22"/>
          <w:lang w:bidi="ar-SA"/>
        </w:rPr>
        <w:t>CAOp Rio São Francisco e Nascentes</w:t>
      </w:r>
    </w:p>
    <w:p>
      <w:pPr>
        <w:pStyle w:val="Normal"/>
        <w:spacing w:lineRule="auto" w:line="360"/>
        <w:jc w:val="both"/>
        <w:rPr/>
      </w:pPr>
      <w:r>
        <w:rPr>
          <w:rFonts w:eastAsia="Lucida Sans Unicode" w:cs="Times New Roman"/>
          <w:b/>
          <w:bCs/>
          <w:sz w:val="22"/>
          <w:szCs w:val="22"/>
          <w:lang w:bidi="ar-SA"/>
        </w:rPr>
        <w:t xml:space="preserve">PROMOTORA DE JUSTIÇA DIRETORA: </w:t>
      </w:r>
      <w:r>
        <w:rPr>
          <w:rFonts w:eastAsia="Lucida Sans Unicode" w:cs="Times New Roman"/>
          <w:sz w:val="22"/>
          <w:szCs w:val="22"/>
          <w:lang w:bidi="ar-SA"/>
        </w:rPr>
        <w:t>Allana Rachel Monteiro Batista Soares Costa</w:t>
      </w:r>
    </w:p>
    <w:p>
      <w:pPr>
        <w:pStyle w:val="Normal"/>
        <w:spacing w:lineRule="auto" w:line="360"/>
        <w:jc w:val="both"/>
        <w:rPr/>
      </w:pPr>
      <w:r>
        <w:rPr/>
      </w:r>
    </w:p>
    <w:p>
      <w:pPr>
        <w:pStyle w:val="Normal"/>
        <w:numPr>
          <w:ilvl w:val="0"/>
          <w:numId w:val="2"/>
        </w:numPr>
        <w:jc w:val="both"/>
        <w:rPr/>
      </w:pPr>
      <w:r>
        <w:rPr>
          <w:rFonts w:eastAsia="Lucida Sans Unicode" w:cs="Times New Roman"/>
          <w:b/>
          <w:bCs/>
          <w:sz w:val="22"/>
          <w:szCs w:val="22"/>
          <w:lang w:bidi="ar-SA"/>
        </w:rPr>
        <w:t>DADOS PESSOAIS E FUNCIONAIS</w:t>
      </w:r>
    </w:p>
    <w:p>
      <w:pPr>
        <w:pStyle w:val="Normal"/>
        <w:jc w:val="both"/>
        <w:rPr/>
      </w:pPr>
      <w:r>
        <w:rPr/>
      </w:r>
    </w:p>
    <w:tbl>
      <w:tblPr>
        <w:tblW w:w="9586" w:type="dxa"/>
        <w:jc w:val="left"/>
        <w:tblInd w:w="38" w:type="dxa"/>
        <w:tblBorders>
          <w:top w:val="single" w:sz="2" w:space="0" w:color="000001"/>
          <w:left w:val="single" w:sz="2" w:space="0" w:color="000001"/>
          <w:bottom w:val="single" w:sz="2" w:space="0" w:color="000001"/>
          <w:insideH w:val="single" w:sz="2" w:space="0" w:color="000001"/>
        </w:tblBorders>
        <w:tblCellMar>
          <w:top w:w="55" w:type="dxa"/>
          <w:left w:w="33" w:type="dxa"/>
          <w:bottom w:w="55" w:type="dxa"/>
          <w:right w:w="55" w:type="dxa"/>
        </w:tblCellMar>
      </w:tblPr>
      <w:tblGrid>
        <w:gridCol w:w="2917"/>
        <w:gridCol w:w="6668"/>
      </w:tblGrid>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rPr/>
            </w:pPr>
            <w:r>
              <w:rPr>
                <w:rFonts w:cs="Times New Roman"/>
                <w:b/>
                <w:bCs/>
                <w:sz w:val="22"/>
                <w:szCs w:val="22"/>
              </w:rPr>
              <w:t>1.1 Data do vitaliciamento na carreira</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Setembro/2005</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1.2 Data de designação no Centro de Apoio/unidade</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rFonts w:cs="Times New Roman"/>
                <w:sz w:val="22"/>
                <w:szCs w:val="22"/>
              </w:rPr>
              <w:t>07/02/2013</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1.3 Atribuições</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jc w:val="both"/>
              <w:rPr/>
            </w:pPr>
            <w:r>
              <w:rPr>
                <w:rFonts w:cs="Times New Roman"/>
                <w:sz w:val="22"/>
                <w:szCs w:val="22"/>
              </w:rPr>
              <w:t>A Resolução n. 002/2002 - CPJ criou o Núcleo de Apoio Operacional às Promotorias de Justiça do Rio São Francisco com o objetivo de proteger e revitalizar o Rio São Francisco, tendo sido seu objeto de atuação ampliado pela Resolução nº 007/2011 – CPJ que incluiu a tutela de todas as nascentes de Sergipe e modificou sua nomenclatura para Centro de Apoio Operacional de Proteção ao Rio São Francisco e às Nascentes (art. 2º, V), reconfigurando suas atribuições para dar apoio operacional a todas as Promotorias de Justiça na tutela dos recursos hídricos e gestão florestal do Estado.</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1.4 Exerce atribuições como Promotor Eleitoral</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Sim (  )         </w:t>
            </w:r>
          </w:p>
          <w:p>
            <w:pPr>
              <w:pStyle w:val="Contedodetabela"/>
              <w:rPr/>
            </w:pPr>
            <w:r>
              <w:rPr>
                <w:rFonts w:cs="Times New Roman"/>
                <w:sz w:val="22"/>
                <w:szCs w:val="22"/>
              </w:rPr>
              <w:t>Não (x)</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 xml:space="preserve">1.5 Designado(a) para cumular suas atribuições em outra unidade do MP, nos últimos seis meses </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Sim (X)         </w:t>
            </w:r>
          </w:p>
          <w:p>
            <w:pPr>
              <w:pStyle w:val="Contedodetabela"/>
              <w:rPr/>
            </w:pPr>
            <w:r>
              <w:rPr>
                <w:rFonts w:cs="Times New Roman"/>
                <w:sz w:val="22"/>
                <w:szCs w:val="22"/>
              </w:rPr>
              <w:t>Não (   )</w:t>
            </w:r>
          </w:p>
          <w:p>
            <w:pPr>
              <w:pStyle w:val="Normal"/>
              <w:jc w:val="both"/>
              <w:rPr/>
            </w:pPr>
            <w:r>
              <w:rPr>
                <w:rFonts w:cs="Times New Roman"/>
                <w:sz w:val="22"/>
                <w:szCs w:val="22"/>
              </w:rPr>
              <w:t xml:space="preserve">Em que unidade? </w:t>
            </w:r>
            <w:bookmarkStart w:id="0" w:name="ctl00_ContentPlaceHolder1_DataList7_ctl0"/>
            <w:bookmarkEnd w:id="0"/>
            <w:r>
              <w:rPr>
                <w:rFonts w:cs="Times New Roman"/>
                <w:i/>
                <w:iCs/>
                <w:sz w:val="22"/>
                <w:szCs w:val="22"/>
              </w:rPr>
              <w:t xml:space="preserve">Promotoria de Justiça da Curadoria da Infância e da Adolescência de Aracaju </w:t>
            </w:r>
          </w:p>
          <w:p>
            <w:pPr>
              <w:pStyle w:val="Normal"/>
              <w:rPr/>
            </w:pPr>
            <w:r>
              <w:rPr/>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1.6 Recebeu colaboração de membro ou de órgão de execução nos últimos seis meses</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Sim (   )      Qual? </w:t>
            </w:r>
          </w:p>
          <w:p>
            <w:pPr>
              <w:pStyle w:val="Contedodetabela"/>
              <w:rPr/>
            </w:pPr>
            <w:r>
              <w:rPr>
                <w:rFonts w:cs="Times New Roman"/>
                <w:sz w:val="22"/>
                <w:szCs w:val="22"/>
              </w:rPr>
              <w:t>Não (X)</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1.7 Reside na Unidade de lotação</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Sim (X)      </w:t>
            </w:r>
          </w:p>
          <w:p>
            <w:pPr>
              <w:pStyle w:val="Contedodetabela"/>
              <w:rPr/>
            </w:pPr>
            <w:r>
              <w:rPr>
                <w:rFonts w:cs="Times New Roman"/>
                <w:sz w:val="22"/>
                <w:szCs w:val="22"/>
              </w:rPr>
              <w:t>Não (   )</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1.8 Endereço Residencial</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rFonts w:cs="Times New Roman"/>
                <w:sz w:val="22"/>
                <w:szCs w:val="22"/>
              </w:rPr>
              <w:t>Aracaju</w:t>
            </w:r>
          </w:p>
          <w:p>
            <w:pPr>
              <w:pStyle w:val="Normal"/>
              <w:jc w:val="both"/>
              <w:rPr>
                <w:rFonts w:cs="Times New Roman"/>
                <w:sz w:val="22"/>
                <w:szCs w:val="22"/>
              </w:rPr>
            </w:pPr>
            <w:r>
              <w:rPr/>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 xml:space="preserve">1.9 Autorizado(a) a residir fora da Comarca </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Sim (   )         Portaria de Autorização nº: _________  Data:</w:t>
            </w:r>
          </w:p>
          <w:p>
            <w:pPr>
              <w:pStyle w:val="Contedodetabela"/>
              <w:rPr/>
            </w:pPr>
            <w:r>
              <w:rPr>
                <w:rFonts w:cs="Times New Roman"/>
                <w:sz w:val="22"/>
                <w:szCs w:val="22"/>
              </w:rPr>
              <w:t>Não (X)</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1.10 Exerce o Magistério</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Sim (   )         Dados do Estabelecimento e carga horária:</w:t>
            </w:r>
          </w:p>
          <w:p>
            <w:pPr>
              <w:pStyle w:val="Contedodetabela"/>
              <w:rPr/>
            </w:pPr>
            <w:r>
              <w:rPr>
                <w:rFonts w:cs="Times New Roman"/>
                <w:sz w:val="22"/>
                <w:szCs w:val="22"/>
              </w:rPr>
              <w:t>Não (X)</w:t>
            </w:r>
          </w:p>
        </w:tc>
      </w:tr>
      <w:tr>
        <w:trPr/>
        <w:tc>
          <w:tcPr>
            <w:tcW w:w="2917"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1.11 Férias/Licenças/Afastamentos no último ano</w:t>
            </w:r>
          </w:p>
        </w:tc>
        <w:tc>
          <w:tcPr>
            <w:tcW w:w="666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Período de férias do último ano: </w:t>
            </w:r>
            <w:r>
              <w:rPr>
                <w:rFonts w:cs="Times New Roman"/>
                <w:i/>
                <w:iCs/>
                <w:color w:val="000000"/>
                <w:sz w:val="22"/>
                <w:szCs w:val="22"/>
              </w:rPr>
              <w:t>Janeiro e Julho</w:t>
            </w:r>
          </w:p>
          <w:p>
            <w:pPr>
              <w:pStyle w:val="Contedodetabela"/>
              <w:rPr/>
            </w:pPr>
            <w:r>
              <w:rPr>
                <w:rFonts w:cs="Times New Roman"/>
                <w:sz w:val="22"/>
                <w:szCs w:val="22"/>
              </w:rPr>
              <w:t xml:space="preserve">Período de licenças do último ano: </w:t>
            </w:r>
            <w:r>
              <w:rPr>
                <w:rFonts w:cs="Times New Roman"/>
                <w:i/>
                <w:iCs/>
                <w:sz w:val="22"/>
                <w:szCs w:val="22"/>
              </w:rPr>
              <w:t>não houve</w:t>
            </w:r>
          </w:p>
          <w:p>
            <w:pPr>
              <w:pStyle w:val="Contedodetabela"/>
              <w:rPr/>
            </w:pPr>
            <w:r>
              <w:rPr>
                <w:rFonts w:cs="Times New Roman"/>
                <w:sz w:val="22"/>
                <w:szCs w:val="22"/>
              </w:rPr>
              <w:t xml:space="preserve">Período de Afastamento do último ano: </w:t>
            </w:r>
            <w:r>
              <w:rPr>
                <w:rFonts w:cs="Times New Roman"/>
                <w:i/>
                <w:iCs/>
                <w:sz w:val="22"/>
                <w:szCs w:val="22"/>
              </w:rPr>
              <w:t>não houve</w:t>
            </w:r>
          </w:p>
        </w:tc>
      </w:tr>
    </w:tbl>
    <w:p>
      <w:pPr>
        <w:pStyle w:val="Normal"/>
        <w:jc w:val="both"/>
        <w:rPr/>
      </w:pPr>
      <w:r>
        <w:rPr/>
      </w:r>
    </w:p>
    <w:p>
      <w:pPr>
        <w:pStyle w:val="Contedodetabela"/>
        <w:widowControl w:val="false"/>
        <w:suppressAutoHyphens w:val="true"/>
        <w:overflowPunct w:val="false"/>
        <w:bidi w:val="0"/>
        <w:snapToGrid w:val="false"/>
        <w:jc w:val="both"/>
        <w:rPr>
          <w:rFonts w:ascii="Times New Roman" w:hAnsi="Times New Roman" w:eastAsia="Lucida Sans Unicode" w:cs="Times New Roman"/>
          <w:b/>
          <w:b/>
          <w:bCs/>
          <w:color w:val="00000A"/>
          <w:sz w:val="24"/>
          <w:szCs w:val="24"/>
          <w:lang w:val="pt-BR" w:eastAsia="zxx" w:bidi="ar-SA"/>
        </w:rPr>
      </w:pPr>
      <w:r>
        <w:rPr>
          <w:rFonts w:eastAsia="Lucida Sans Unicode" w:cs="Times New Roman"/>
          <w:b/>
          <w:bCs/>
          <w:color w:val="00000A"/>
          <w:sz w:val="24"/>
          <w:szCs w:val="24"/>
          <w:lang w:val="pt-BR" w:eastAsia="zxx" w:bidi="ar-SA"/>
        </w:rPr>
        <w:t>1.12 Observações da Corregedoria:</w:t>
      </w:r>
    </w:p>
    <w:p>
      <w:pPr>
        <w:pStyle w:val="Contedodetabela"/>
        <w:widowControl w:val="false"/>
        <w:suppressAutoHyphens w:val="true"/>
        <w:overflowPunct w:val="false"/>
        <w:bidi w:val="0"/>
        <w:snapToGrid w:val="false"/>
        <w:jc w:val="both"/>
        <w:rPr/>
      </w:pPr>
      <w:r>
        <w:rPr>
          <w:rFonts w:eastAsia="Lucida Sans Unicode" w:cs="Times New Roman"/>
          <w:b/>
          <w:bCs/>
          <w:i w:val="false"/>
          <w:iCs w:val="false"/>
          <w:color w:val="00000A"/>
          <w:sz w:val="24"/>
          <w:szCs w:val="24"/>
          <w:lang w:val="pt-BR" w:eastAsia="zxx" w:bidi="ar-SA"/>
        </w:rPr>
        <w:tab/>
      </w:r>
    </w:p>
    <w:p>
      <w:pPr>
        <w:pStyle w:val="Contedodetabela"/>
        <w:widowControl w:val="false"/>
        <w:suppressAutoHyphens w:val="true"/>
        <w:overflowPunct w:val="false"/>
        <w:bidi w:val="0"/>
        <w:snapToGrid w:val="false"/>
        <w:spacing w:lineRule="auto" w:line="360"/>
        <w:jc w:val="both"/>
        <w:rPr/>
      </w:pPr>
      <w:r>
        <w:rPr>
          <w:rFonts w:eastAsia="Lucida Sans Unicode" w:cs="Times New Roman"/>
          <w:b/>
          <w:bCs/>
          <w:i w:val="false"/>
          <w:iCs w:val="false"/>
          <w:color w:val="00000A"/>
          <w:sz w:val="24"/>
          <w:szCs w:val="24"/>
          <w:u w:val="none"/>
          <w:lang w:val="pt-BR" w:eastAsia="zxx" w:bidi="ar-SA"/>
        </w:rPr>
        <w:tab/>
      </w:r>
      <w:r>
        <w:rPr>
          <w:rFonts w:eastAsia="Lucida Sans Unicode" w:cs="Times New Roman"/>
          <w:b w:val="false"/>
          <w:bCs w:val="false"/>
          <w:i w:val="false"/>
          <w:iCs w:val="false"/>
          <w:color w:val="00000A"/>
          <w:sz w:val="24"/>
          <w:szCs w:val="24"/>
          <w:u w:val="none"/>
          <w:lang w:val="pt-BR" w:eastAsia="zxx" w:bidi="ar-SA"/>
        </w:rPr>
        <w:t>As férias foram devidamente comunicadas à Corregedoria-Geral, conforme disposto no art. 104 da Lei Complementar nº 02/90.</w:t>
      </w:r>
    </w:p>
    <w:p>
      <w:pPr>
        <w:pStyle w:val="Contedodetabela"/>
        <w:widowControl w:val="false"/>
        <w:suppressAutoHyphens w:val="true"/>
        <w:overflowPunct w:val="false"/>
        <w:bidi w:val="0"/>
        <w:snapToGrid w:val="false"/>
        <w:jc w:val="both"/>
        <w:rPr>
          <w:rFonts w:ascii="Times New Roman" w:hAnsi="Times New Roman" w:eastAsia="Lucida Sans Unicode" w:cs="Times New Roman"/>
          <w:b w:val="false"/>
          <w:b w:val="false"/>
          <w:bCs w:val="false"/>
          <w:i w:val="false"/>
          <w:i w:val="false"/>
          <w:iCs w:val="false"/>
          <w:color w:val="00000A"/>
          <w:sz w:val="24"/>
          <w:szCs w:val="24"/>
          <w:u w:val="none"/>
          <w:lang w:val="pt-BR" w:eastAsia="zxx" w:bidi="ar-SA"/>
        </w:rPr>
      </w:pPr>
      <w:r>
        <w:rPr>
          <w:rFonts w:eastAsia="Lucida Sans Unicode" w:cs="Times New Roman"/>
          <w:b w:val="false"/>
          <w:bCs w:val="false"/>
          <w:i w:val="false"/>
          <w:iCs w:val="false"/>
          <w:color w:val="00000A"/>
          <w:sz w:val="24"/>
          <w:szCs w:val="24"/>
          <w:u w:val="none"/>
          <w:lang w:val="pt-BR" w:eastAsia="zxx" w:bidi="ar-SA"/>
        </w:rPr>
      </w:r>
    </w:p>
    <w:p>
      <w:pPr>
        <w:pStyle w:val="Normal"/>
        <w:numPr>
          <w:ilvl w:val="0"/>
          <w:numId w:val="3"/>
        </w:numPr>
        <w:jc w:val="both"/>
        <w:rPr/>
      </w:pPr>
      <w:r>
        <w:rPr>
          <w:rFonts w:cs="Times New Roman"/>
          <w:b/>
          <w:bCs/>
          <w:sz w:val="22"/>
          <w:szCs w:val="22"/>
        </w:rPr>
        <w:t>DADOS DO CAOP/UNIDADE</w:t>
      </w:r>
    </w:p>
    <w:p>
      <w:pPr>
        <w:pStyle w:val="Normal"/>
        <w:jc w:val="both"/>
        <w:rPr/>
      </w:pPr>
      <w:r>
        <w:rPr/>
      </w:r>
    </w:p>
    <w:tbl>
      <w:tblPr>
        <w:tblW w:w="9650" w:type="dxa"/>
        <w:jc w:val="left"/>
        <w:tblInd w:w="38" w:type="dxa"/>
        <w:tblBorders>
          <w:top w:val="single" w:sz="2" w:space="0" w:color="000001"/>
          <w:left w:val="single" w:sz="2" w:space="0" w:color="000001"/>
          <w:bottom w:val="single" w:sz="2" w:space="0" w:color="000001"/>
          <w:insideH w:val="single" w:sz="2" w:space="0" w:color="000001"/>
        </w:tblBorders>
        <w:tblCellMar>
          <w:top w:w="55" w:type="dxa"/>
          <w:left w:w="33" w:type="dxa"/>
          <w:bottom w:w="55" w:type="dxa"/>
          <w:right w:w="55" w:type="dxa"/>
        </w:tblCellMar>
      </w:tblPr>
      <w:tblGrid>
        <w:gridCol w:w="4049"/>
        <w:gridCol w:w="5600"/>
      </w:tblGrid>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2.1 Servidores</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b/>
                <w:bCs/>
                <w:sz w:val="22"/>
                <w:szCs w:val="22"/>
              </w:rPr>
              <w:t>Nome</w:t>
            </w:r>
            <w:r>
              <w:rPr>
                <w:rFonts w:cs="Times New Roman"/>
                <w:sz w:val="22"/>
                <w:szCs w:val="22"/>
              </w:rPr>
              <w:t xml:space="preserve">: </w:t>
            </w:r>
            <w:r>
              <w:rPr>
                <w:rFonts w:cs="Times New Roman"/>
                <w:i/>
                <w:iCs/>
                <w:sz w:val="22"/>
                <w:szCs w:val="22"/>
              </w:rPr>
              <w:t>Katherine Takame Mine Almeida</w:t>
            </w:r>
          </w:p>
          <w:p>
            <w:pPr>
              <w:pStyle w:val="Contedodetabela"/>
              <w:rPr/>
            </w:pPr>
            <w:r>
              <w:rPr>
                <w:rFonts w:cs="Times New Roman"/>
                <w:b/>
                <w:bCs/>
                <w:sz w:val="22"/>
                <w:szCs w:val="22"/>
              </w:rPr>
              <w:t>Cargo</w:t>
            </w:r>
            <w:r>
              <w:rPr>
                <w:rFonts w:cs="Times New Roman"/>
                <w:sz w:val="22"/>
                <w:szCs w:val="22"/>
              </w:rPr>
              <w:t xml:space="preserve">: </w:t>
            </w:r>
            <w:r>
              <w:rPr>
                <w:rFonts w:cs="Times New Roman"/>
                <w:i/>
                <w:iCs/>
                <w:sz w:val="22"/>
                <w:szCs w:val="22"/>
              </w:rPr>
              <w:t>Analista do MPSE</w:t>
            </w:r>
          </w:p>
          <w:p>
            <w:pPr>
              <w:pStyle w:val="Contedodetabela"/>
              <w:rPr/>
            </w:pPr>
            <w:r>
              <w:rPr>
                <w:rFonts w:cs="Times New Roman"/>
                <w:b/>
                <w:bCs/>
                <w:sz w:val="22"/>
                <w:szCs w:val="22"/>
              </w:rPr>
              <w:t>Nome</w:t>
            </w:r>
            <w:r>
              <w:rPr>
                <w:rFonts w:cs="Times New Roman"/>
                <w:sz w:val="22"/>
                <w:szCs w:val="22"/>
              </w:rPr>
              <w:t xml:space="preserve">: </w:t>
            </w:r>
            <w:r>
              <w:rPr>
                <w:rFonts w:cs="Times New Roman"/>
                <w:i/>
                <w:iCs/>
                <w:sz w:val="22"/>
                <w:szCs w:val="22"/>
              </w:rPr>
              <w:t>Danilo José Amaral Goulart</w:t>
            </w:r>
          </w:p>
          <w:p>
            <w:pPr>
              <w:pStyle w:val="Contedodetabela"/>
              <w:rPr/>
            </w:pPr>
            <w:r>
              <w:rPr>
                <w:rFonts w:cs="Times New Roman"/>
                <w:b/>
                <w:bCs/>
                <w:sz w:val="22"/>
                <w:szCs w:val="22"/>
              </w:rPr>
              <w:t>Cargo</w:t>
            </w:r>
            <w:r>
              <w:rPr>
                <w:rFonts w:cs="Times New Roman"/>
                <w:sz w:val="22"/>
                <w:szCs w:val="22"/>
              </w:rPr>
              <w:t xml:space="preserve">: </w:t>
            </w:r>
            <w:r>
              <w:rPr>
                <w:rFonts w:cs="Times New Roman"/>
                <w:i/>
                <w:iCs/>
                <w:sz w:val="22"/>
                <w:szCs w:val="22"/>
              </w:rPr>
              <w:t xml:space="preserve">Técnico do MPSE                   </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2.2 A estrutura de apoio é</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(X) Satisfatória         </w:t>
            </w:r>
          </w:p>
          <w:p>
            <w:pPr>
              <w:pStyle w:val="Contedodetabela"/>
              <w:rPr/>
            </w:pPr>
            <w:r>
              <w:rPr>
                <w:rFonts w:cs="Times New Roman"/>
                <w:sz w:val="22"/>
                <w:szCs w:val="22"/>
              </w:rPr>
              <w:t>(  ) Insuficiente</w:t>
            </w:r>
          </w:p>
          <w:p>
            <w:pPr>
              <w:pStyle w:val="Contedodetabela"/>
              <w:rPr/>
            </w:pPr>
            <w:r>
              <w:rPr>
                <w:rFonts w:cs="Times New Roman"/>
                <w:sz w:val="22"/>
                <w:szCs w:val="22"/>
              </w:rPr>
              <w:t>Observações:</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2.3 As instalações do CAOP/Unidade são adequadas e satisfatórias</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Sim (X)      </w:t>
            </w:r>
          </w:p>
          <w:p>
            <w:pPr>
              <w:pStyle w:val="Contedodetabela"/>
              <w:rPr/>
            </w:pPr>
            <w:r>
              <w:rPr>
                <w:rFonts w:cs="Times New Roman"/>
                <w:sz w:val="22"/>
                <w:szCs w:val="22"/>
              </w:rPr>
              <w:t xml:space="preserve">Não (  )  </w:t>
            </w:r>
          </w:p>
          <w:p>
            <w:pPr>
              <w:pStyle w:val="Contedodetabela"/>
              <w:rPr/>
            </w:pPr>
            <w:r>
              <w:rPr>
                <w:rFonts w:cs="Times New Roman"/>
                <w:sz w:val="22"/>
                <w:szCs w:val="22"/>
              </w:rPr>
              <w:t xml:space="preserve">Observações: </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2.4 Horário de Funcionamento do CAOP/Unidade</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i/>
                <w:iCs/>
                <w:sz w:val="22"/>
                <w:szCs w:val="22"/>
              </w:rPr>
              <w:t>07h às 14h</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2.5 Dias/Horário de atendimento ao público</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i/>
                <w:iCs/>
                <w:sz w:val="22"/>
                <w:szCs w:val="22"/>
              </w:rPr>
              <w:t>Segunda à Sexta/07h às 14h</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2.6 Quantitativo médio de atendimento ao público semanal</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i/>
                <w:iCs/>
                <w:sz w:val="22"/>
                <w:szCs w:val="22"/>
              </w:rPr>
              <w:t>30</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2.7 Há registro dos atendimentos realizados ao público externo (partes/advogados/comunidade)</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 xml:space="preserve">Sim (   )      </w:t>
            </w:r>
          </w:p>
          <w:p>
            <w:pPr>
              <w:pStyle w:val="Contedodetabela"/>
              <w:rPr/>
            </w:pPr>
            <w:r>
              <w:rPr>
                <w:rFonts w:cs="Times New Roman"/>
                <w:sz w:val="22"/>
                <w:szCs w:val="22"/>
              </w:rPr>
              <w:t>Não (X)</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2.8 A internet está funcionando a contento</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jc w:val="both"/>
              <w:rPr/>
            </w:pPr>
            <w:r>
              <w:rPr>
                <w:rFonts w:cs="Times New Roman"/>
                <w:sz w:val="22"/>
                <w:szCs w:val="22"/>
              </w:rPr>
              <w:t xml:space="preserve">Sim (X)      </w:t>
            </w:r>
          </w:p>
          <w:p>
            <w:pPr>
              <w:pStyle w:val="Contedodetabela"/>
              <w:jc w:val="both"/>
              <w:rPr/>
            </w:pPr>
            <w:r>
              <w:rPr>
                <w:rFonts w:cs="Times New Roman"/>
                <w:sz w:val="22"/>
                <w:szCs w:val="22"/>
              </w:rPr>
              <w:t>Não (   )</w:t>
            </w:r>
          </w:p>
          <w:p>
            <w:pPr>
              <w:pStyle w:val="Contedodetabela"/>
              <w:jc w:val="both"/>
              <w:rPr/>
            </w:pPr>
            <w:r>
              <w:rPr>
                <w:rFonts w:cs="Times New Roman"/>
                <w:sz w:val="22"/>
                <w:szCs w:val="22"/>
              </w:rPr>
              <w:t>Observações:</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2.9 Livros/Pastas (físicas ou eletrônicas) existentes no CAOP/Unidade</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(X)  Ofícios recebidos</w:t>
            </w:r>
          </w:p>
          <w:p>
            <w:pPr>
              <w:pStyle w:val="Contedodetabela"/>
              <w:rPr/>
            </w:pPr>
            <w:r>
              <w:rPr>
                <w:rFonts w:cs="Times New Roman"/>
                <w:sz w:val="22"/>
                <w:szCs w:val="22"/>
              </w:rPr>
              <w:t>(X)  Ofícios expedidos</w:t>
            </w:r>
          </w:p>
          <w:p>
            <w:pPr>
              <w:pStyle w:val="Contedodetabela"/>
              <w:rPr/>
            </w:pPr>
            <w:r>
              <w:rPr>
                <w:rFonts w:cs="Times New Roman"/>
                <w:sz w:val="22"/>
                <w:szCs w:val="22"/>
              </w:rPr>
              <w:t>(X)   Atos, avisos, instruções normativas, recomendações, portarias e outros normativos do Conselho Nacional do Ministério Público, Procuradoria Geral de Justiça, Corregedoria Geral e Coordenadoria Geral</w:t>
            </w:r>
          </w:p>
          <w:p>
            <w:pPr>
              <w:pStyle w:val="Contedodetabela"/>
              <w:rPr/>
            </w:pPr>
            <w:r>
              <w:rPr>
                <w:rFonts w:cs="Times New Roman"/>
                <w:sz w:val="22"/>
                <w:szCs w:val="22"/>
              </w:rPr>
              <w:t>(  ) Portarias de Procedimento Administrativo Preparatório e Inquérito Civil instaurados</w:t>
            </w:r>
          </w:p>
          <w:p>
            <w:pPr>
              <w:pStyle w:val="Contedodetabela"/>
              <w:rPr/>
            </w:pPr>
            <w:r>
              <w:rPr>
                <w:rFonts w:cs="Times New Roman"/>
                <w:sz w:val="22"/>
                <w:szCs w:val="22"/>
              </w:rPr>
              <w:t>(   ) Controle de atendimento ao público</w:t>
            </w:r>
          </w:p>
          <w:p>
            <w:pPr>
              <w:pStyle w:val="Contedodetabela"/>
              <w:rPr/>
            </w:pPr>
            <w:r>
              <w:rPr>
                <w:rFonts w:cs="Times New Roman"/>
                <w:sz w:val="22"/>
                <w:szCs w:val="22"/>
              </w:rPr>
              <w:t>(   ) TAC's homologados</w:t>
            </w:r>
          </w:p>
          <w:p>
            <w:pPr>
              <w:pStyle w:val="Contedodetabela"/>
              <w:rPr/>
            </w:pPr>
            <w:r>
              <w:rPr>
                <w:rFonts w:cs="Times New Roman"/>
                <w:sz w:val="22"/>
                <w:szCs w:val="22"/>
              </w:rPr>
              <w:t>(   ) Guias do Sistema Arquimedes</w:t>
            </w:r>
          </w:p>
          <w:p>
            <w:pPr>
              <w:pStyle w:val="Contedodetabela"/>
              <w:rPr/>
            </w:pPr>
            <w:r>
              <w:rPr>
                <w:rFonts w:cs="Times New Roman"/>
                <w:sz w:val="22"/>
                <w:szCs w:val="22"/>
              </w:rPr>
              <w:t>(   ) Autos de Prisão em Flagrante</w:t>
            </w:r>
          </w:p>
          <w:p>
            <w:pPr>
              <w:pStyle w:val="Contedodetabela"/>
              <w:rPr/>
            </w:pPr>
            <w:r>
              <w:rPr>
                <w:rFonts w:cs="Times New Roman"/>
                <w:sz w:val="22"/>
                <w:szCs w:val="22"/>
              </w:rPr>
              <w:t>(   ) Peças Processuais elaboradas na Promotoria</w:t>
            </w:r>
          </w:p>
          <w:p>
            <w:pPr>
              <w:pStyle w:val="Contedodetabela"/>
              <w:rPr/>
            </w:pPr>
            <w:r>
              <w:rPr>
                <w:rFonts w:cs="Times New Roman"/>
                <w:sz w:val="22"/>
                <w:szCs w:val="22"/>
              </w:rPr>
              <w:t>(   ) Eleitoral</w:t>
            </w:r>
          </w:p>
          <w:p>
            <w:pPr>
              <w:pStyle w:val="Contedodetabela"/>
              <w:rPr/>
            </w:pPr>
            <w:r>
              <w:rPr>
                <w:rFonts w:cs="Times New Roman"/>
                <w:sz w:val="22"/>
                <w:szCs w:val="22"/>
              </w:rPr>
              <w:t>(X) Livro de carga/protocolo</w:t>
            </w:r>
          </w:p>
          <w:p>
            <w:pPr>
              <w:pStyle w:val="Contedodetabela"/>
              <w:rPr/>
            </w:pPr>
            <w:r>
              <w:rPr>
                <w:rFonts w:cs="Times New Roman"/>
                <w:sz w:val="22"/>
                <w:szCs w:val="22"/>
              </w:rPr>
              <w:t>cópia de preenchimento dos formulários – sistemas do MP e CNMP</w:t>
            </w:r>
          </w:p>
          <w:p>
            <w:pPr>
              <w:pStyle w:val="Contedodetabela"/>
              <w:rPr/>
            </w:pPr>
            <w:r>
              <w:rPr>
                <w:rFonts w:cs="Times New Roman"/>
                <w:sz w:val="22"/>
                <w:szCs w:val="22"/>
              </w:rPr>
              <w:t xml:space="preserve">(   ) Idepol   (   ) CITT  (   ) Visitas a entidades de acolhimento </w:t>
            </w:r>
          </w:p>
          <w:p>
            <w:pPr>
              <w:pStyle w:val="Contedodetabela"/>
              <w:rPr/>
            </w:pPr>
            <w:r>
              <w:rPr>
                <w:rFonts w:cs="Times New Roman"/>
                <w:sz w:val="22"/>
                <w:szCs w:val="22"/>
              </w:rPr>
              <w:t xml:space="preserve">(   ) Visitas a Presídios  (   ) Visitas a unidades socioeducativas </w:t>
            </w:r>
          </w:p>
          <w:p>
            <w:pPr>
              <w:pStyle w:val="Contedodetabela"/>
              <w:rPr/>
            </w:pPr>
            <w:r>
              <w:rPr>
                <w:rFonts w:cs="Times New Roman"/>
                <w:sz w:val="22"/>
                <w:szCs w:val="22"/>
              </w:rPr>
              <w:t>(   ) Disque-100</w:t>
            </w:r>
          </w:p>
          <w:p>
            <w:pPr>
              <w:pStyle w:val="Contedodetabela"/>
              <w:rPr/>
            </w:pPr>
            <w:r>
              <w:rPr>
                <w:rFonts w:cs="Times New Roman"/>
                <w:sz w:val="22"/>
                <w:szCs w:val="22"/>
              </w:rPr>
              <w:t>(   ) Outros. Especificar:</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2.10 Equipamentos existentes no CAOP/Unidade</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rPr/>
            </w:pPr>
            <w:r>
              <w:rPr>
                <w:rFonts w:cs="Times New Roman"/>
                <w:sz w:val="22"/>
                <w:szCs w:val="22"/>
              </w:rPr>
              <w:t>quantidade de computadores ( 04 )</w:t>
            </w:r>
          </w:p>
          <w:p>
            <w:pPr>
              <w:pStyle w:val="Contedodetabela"/>
              <w:rPr/>
            </w:pPr>
            <w:r>
              <w:rPr>
                <w:rFonts w:cs="Times New Roman"/>
                <w:sz w:val="22"/>
                <w:szCs w:val="22"/>
              </w:rPr>
              <w:t>quantidade de impressoras ( 01 )</w:t>
            </w:r>
          </w:p>
          <w:p>
            <w:pPr>
              <w:pStyle w:val="Contedodetabela"/>
              <w:rPr/>
            </w:pPr>
            <w:r>
              <w:rPr>
                <w:rFonts w:cs="Times New Roman"/>
                <w:sz w:val="22"/>
                <w:szCs w:val="22"/>
              </w:rPr>
              <w:t>quantidade de scanners ( 01 )</w:t>
            </w:r>
          </w:p>
          <w:p>
            <w:pPr>
              <w:pStyle w:val="Contedodetabela"/>
              <w:rPr/>
            </w:pPr>
            <w:r>
              <w:rPr>
                <w:rFonts w:cs="Times New Roman"/>
                <w:sz w:val="22"/>
                <w:szCs w:val="22"/>
              </w:rPr>
              <w:t>quantidade de fax (não tem)</w:t>
            </w:r>
          </w:p>
          <w:p>
            <w:pPr>
              <w:pStyle w:val="Contedodetabela"/>
              <w:rPr/>
            </w:pPr>
            <w:r>
              <w:rPr>
                <w:rFonts w:cs="Times New Roman"/>
                <w:sz w:val="22"/>
                <w:szCs w:val="22"/>
              </w:rPr>
              <w:t>outros equipamentos. Especificar:</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2.11 Os Servidores estão aptos a operar os Sistemas do MP/SE e CNMP</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rFonts w:cs="Times New Roman"/>
                <w:sz w:val="22"/>
                <w:szCs w:val="22"/>
              </w:rPr>
              <w:t xml:space="preserve">Arquimedes: </w:t>
              <w:tab/>
              <w:t xml:space="preserve">                   Sim ( X )     Não (     )</w:t>
            </w:r>
          </w:p>
          <w:p>
            <w:pPr>
              <w:pStyle w:val="Normal"/>
              <w:jc w:val="both"/>
              <w:rPr/>
            </w:pPr>
            <w:r>
              <w:rPr>
                <w:rFonts w:cs="Times New Roman"/>
                <w:sz w:val="22"/>
                <w:szCs w:val="22"/>
              </w:rPr>
              <w:t xml:space="preserve">Proej: </w:t>
              <w:tab/>
              <w:tab/>
              <w:t xml:space="preserve">                   Sim ( X  )    Não (     )</w:t>
            </w:r>
          </w:p>
          <w:p>
            <w:pPr>
              <w:pStyle w:val="Normal"/>
              <w:jc w:val="both"/>
              <w:rPr/>
            </w:pPr>
            <w:r>
              <w:rPr>
                <w:rFonts w:cs="Times New Roman"/>
                <w:sz w:val="22"/>
                <w:szCs w:val="22"/>
              </w:rPr>
              <w:t xml:space="preserve">CITT: </w:t>
              <w:tab/>
              <w:tab/>
              <w:t xml:space="preserve">                   Sim (     )     Não (     )</w:t>
            </w:r>
          </w:p>
          <w:p>
            <w:pPr>
              <w:pStyle w:val="Normal"/>
              <w:jc w:val="both"/>
              <w:rPr/>
            </w:pPr>
            <w:r>
              <w:rPr>
                <w:rFonts w:cs="Times New Roman"/>
                <w:sz w:val="22"/>
                <w:szCs w:val="22"/>
              </w:rPr>
              <w:t>IDEPOL:</w:t>
              <w:tab/>
              <w:t xml:space="preserve">                   Sim (     )     Não (     )</w:t>
            </w:r>
          </w:p>
          <w:p>
            <w:pPr>
              <w:pStyle w:val="Normal"/>
              <w:jc w:val="both"/>
              <w:rPr/>
            </w:pPr>
            <w:r>
              <w:rPr>
                <w:rFonts w:cs="Times New Roman"/>
                <w:sz w:val="22"/>
                <w:szCs w:val="22"/>
              </w:rPr>
              <w:t>MP-Mobile:</w:t>
              <w:tab/>
              <w:t xml:space="preserve">                   Sim ( X )     Não (     )</w:t>
            </w:r>
          </w:p>
          <w:p>
            <w:pPr>
              <w:pStyle w:val="Normal"/>
              <w:jc w:val="both"/>
              <w:rPr/>
            </w:pPr>
            <w:r>
              <w:rPr>
                <w:rFonts w:cs="Times New Roman"/>
                <w:sz w:val="22"/>
                <w:szCs w:val="22"/>
              </w:rPr>
              <w:t>Disque-100:</w:t>
              <w:tab/>
              <w:t xml:space="preserve">                   Sim (     )     Não (     )</w:t>
            </w:r>
          </w:p>
          <w:p>
            <w:pPr>
              <w:pStyle w:val="Normal"/>
              <w:jc w:val="both"/>
              <w:rPr/>
            </w:pPr>
            <w:r>
              <w:rPr>
                <w:rFonts w:cs="Times New Roman"/>
                <w:sz w:val="22"/>
                <w:szCs w:val="22"/>
              </w:rPr>
              <w:t>Unidades de Acolhimento:  Sim (     )     Não (     )</w:t>
            </w:r>
          </w:p>
          <w:p>
            <w:pPr>
              <w:pStyle w:val="Normal"/>
              <w:jc w:val="both"/>
              <w:rPr/>
            </w:pPr>
            <w:r>
              <w:rPr>
                <w:rFonts w:cs="Times New Roman"/>
                <w:sz w:val="22"/>
                <w:szCs w:val="22"/>
              </w:rPr>
              <w:t>Unidades Socioeducativas : Sim (     )     Não (     )</w:t>
            </w:r>
          </w:p>
          <w:p>
            <w:pPr>
              <w:pStyle w:val="Normal"/>
              <w:jc w:val="both"/>
              <w:rPr/>
            </w:pPr>
            <w:r>
              <w:rPr>
                <w:rFonts w:cs="Times New Roman"/>
                <w:sz w:val="22"/>
                <w:szCs w:val="22"/>
              </w:rPr>
              <w:t>Delegacias de Polícia:         Sim (     )     Não (     )</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 xml:space="preserve">2.12 A unidade, em sua atuação, observa as nomenclaturas e terminologias presentes nas tabelas taxonômicas do CNMP </w:t>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rFonts w:cs="Times New Roman"/>
                <w:sz w:val="22"/>
                <w:szCs w:val="22"/>
              </w:rPr>
              <w:t>(    ) Sim    (    ) Não    (X) Sem atribuição</w:t>
            </w:r>
          </w:p>
        </w:tc>
      </w:tr>
      <w:tr>
        <w:trPr/>
        <w:tc>
          <w:tcPr>
            <w:tcW w:w="4049"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2.13 A unidade, em sua atuação, está cumprindo a sentença proferida pela Corte Interamericana de Direitos Humanos, no caso “Favela Nova Brasília”</w:t>
            </w:r>
            <w:r>
              <w:rPr>
                <w:rStyle w:val="Ncoradanotaderodap"/>
                <w:rFonts w:cs="Times New Roman"/>
                <w:b/>
                <w:bCs/>
                <w:sz w:val="22"/>
                <w:szCs w:val="22"/>
              </w:rPr>
              <w:footnoteReference w:id="2"/>
            </w:r>
          </w:p>
          <w:p>
            <w:pPr>
              <w:pStyle w:val="Normal"/>
              <w:jc w:val="both"/>
              <w:rPr/>
            </w:pPr>
            <w:r>
              <w:rPr/>
            </w:r>
          </w:p>
        </w:tc>
        <w:tc>
          <w:tcPr>
            <w:tcW w:w="560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jc w:val="both"/>
              <w:rPr/>
            </w:pPr>
            <w:r>
              <w:rPr>
                <w:rFonts w:cs="Times New Roman"/>
                <w:sz w:val="22"/>
                <w:szCs w:val="22"/>
              </w:rPr>
              <w:t>(    ) Sim    (    ) Não     ( X ) Sem atribuição</w:t>
            </w:r>
          </w:p>
        </w:tc>
      </w:tr>
    </w:tbl>
    <w:p>
      <w:pPr>
        <w:pStyle w:val="Normal"/>
        <w:jc w:val="both"/>
        <w:rPr/>
      </w:pPr>
      <w:r>
        <w:rPr/>
      </w:r>
    </w:p>
    <w:p>
      <w:pPr>
        <w:pStyle w:val="Contedodetabela"/>
        <w:snapToGrid w:val="false"/>
        <w:jc w:val="both"/>
        <w:rPr/>
      </w:pPr>
      <w:r>
        <w:rPr>
          <w:b/>
          <w:bCs/>
          <w:sz w:val="24"/>
          <w:szCs w:val="24"/>
        </w:rPr>
        <w:t xml:space="preserve">2.16 Observações </w:t>
      </w:r>
      <w:r>
        <w:rPr>
          <w:rFonts w:eastAsia="Lucida Sans Unicode" w:cs="Times New Roman"/>
          <w:b/>
          <w:bCs/>
          <w:color w:val="00000A"/>
          <w:sz w:val="24"/>
          <w:szCs w:val="24"/>
          <w:lang w:val="pt-BR" w:eastAsia="zxx" w:bidi="ar-SA"/>
        </w:rPr>
        <w:t>da Corregedoria</w:t>
      </w:r>
    </w:p>
    <w:p>
      <w:pPr>
        <w:pStyle w:val="Contedodetabela"/>
        <w:snapToGrid w:val="false"/>
        <w:jc w:val="both"/>
        <w:rPr>
          <w:b/>
          <w:b/>
          <w:bCs/>
          <w:sz w:val="24"/>
          <w:szCs w:val="24"/>
        </w:rPr>
      </w:pPr>
      <w:r>
        <w:rPr>
          <w:b/>
          <w:bCs/>
          <w:sz w:val="24"/>
          <w:szCs w:val="24"/>
        </w:rPr>
      </w:r>
    </w:p>
    <w:p>
      <w:pPr>
        <w:pStyle w:val="Contedodetabela"/>
        <w:bidi w:val="0"/>
        <w:snapToGrid w:val="false"/>
        <w:spacing w:lineRule="auto" w:line="360"/>
        <w:jc w:val="both"/>
        <w:rPr/>
      </w:pPr>
      <w:r>
        <w:rPr>
          <w:rFonts w:eastAsia="Lucida Sans Unicode" w:cs="Times New Roman"/>
          <w:b/>
          <w:bCs/>
          <w:color w:val="00000A"/>
          <w:sz w:val="24"/>
          <w:szCs w:val="24"/>
          <w:lang w:val="pt-BR" w:eastAsia="zxx" w:bidi="ar-SA"/>
        </w:rPr>
        <w:tab/>
        <w:t xml:space="preserve">A Corregedoria recomenda que o atendimento a partes e advogados seja registrado em livro próprio, </w:t>
      </w:r>
      <w:r>
        <w:rPr>
          <w:rFonts w:eastAsia="Lucida Sans Unicode" w:cs="Times New Roman"/>
          <w:b/>
          <w:bCs/>
          <w:color w:val="00000A"/>
          <w:sz w:val="24"/>
          <w:szCs w:val="24"/>
          <w:u w:val="none"/>
          <w:lang w:val="pt-BR" w:eastAsia="zxx" w:bidi="ar-SA"/>
        </w:rPr>
        <w:t>nos termos do art. 42, II, k, do Regimento Interno da Corregedoria-Geral (Resolução CPJ nº 005/2014)</w:t>
      </w:r>
      <w:r>
        <w:rPr>
          <w:rFonts w:eastAsia="Lucida Sans Unicode" w:cs="Times New Roman"/>
          <w:b w:val="false"/>
          <w:bCs w:val="false"/>
          <w:color w:val="00000A"/>
          <w:sz w:val="24"/>
          <w:szCs w:val="24"/>
          <w:u w:val="none"/>
          <w:lang w:val="pt-BR" w:eastAsia="zxx" w:bidi="ar-SA"/>
        </w:rPr>
        <w:t>.</w:t>
      </w:r>
      <w:r>
        <w:rPr>
          <w:rFonts w:eastAsia="Lucida Sans Unicode" w:cs="Times New Roman"/>
          <w:b w:val="false"/>
          <w:bCs w:val="false"/>
          <w:color w:val="00000A"/>
          <w:sz w:val="24"/>
          <w:szCs w:val="24"/>
          <w:lang w:val="pt-BR" w:eastAsia="zxx" w:bidi="ar-SA"/>
        </w:rPr>
        <w:t xml:space="preserve"> </w:t>
      </w:r>
    </w:p>
    <w:p>
      <w:pPr>
        <w:pStyle w:val="Normal"/>
        <w:jc w:val="both"/>
        <w:rPr/>
      </w:pPr>
      <w:r>
        <w:rPr/>
      </w:r>
    </w:p>
    <w:p>
      <w:pPr>
        <w:pStyle w:val="Normal"/>
        <w:jc w:val="both"/>
        <w:rPr/>
      </w:pPr>
      <w:r>
        <w:rPr>
          <w:rFonts w:cs="Times New Roman"/>
          <w:b/>
          <w:bCs/>
          <w:sz w:val="22"/>
          <w:szCs w:val="22"/>
        </w:rPr>
        <w:t>3) ELOGIOS, PRÊMIOS, CURSOS E CONGRESSOS</w:t>
      </w:r>
    </w:p>
    <w:p>
      <w:pPr>
        <w:pStyle w:val="Normal"/>
        <w:widowControl/>
        <w:jc w:val="center"/>
        <w:rPr/>
      </w:pPr>
      <w:r>
        <w:rPr/>
      </w:r>
    </w:p>
    <w:p>
      <w:pPr>
        <w:pStyle w:val="Normal"/>
        <w:widowControl/>
        <w:jc w:val="both"/>
        <w:rPr/>
      </w:pPr>
      <w:r>
        <w:rPr/>
        <w:tab/>
        <w:t>A Promotora de Justiça registrou:</w:t>
      </w:r>
    </w:p>
    <w:p>
      <w:pPr>
        <w:pStyle w:val="Normal"/>
        <w:widowControl/>
        <w:tabs>
          <w:tab w:val="left" w:pos="761" w:leader="none"/>
          <w:tab w:val="left" w:pos="793" w:leader="none"/>
        </w:tabs>
        <w:spacing w:lineRule="auto" w:line="360" w:before="113" w:after="113"/>
        <w:jc w:val="both"/>
        <w:rPr/>
      </w:pPr>
      <w:r>
        <w:rPr>
          <w:rStyle w:val="Fontepargpadro1"/>
          <w:rFonts w:eastAsia="Times New Roman" w:cs="Times New Roman"/>
          <w:b/>
          <w:bCs/>
          <w:color w:val="000000"/>
          <w:sz w:val="22"/>
          <w:szCs w:val="22"/>
          <w:shd w:fill="DDDDDD" w:val="clear"/>
          <w:lang w:bidi="ar-SA"/>
        </w:rPr>
        <w:t>3.1 PRÊMIO CNMP 2017 REFERENTE AO PROJETO “NASCENTES DO SÃO FRANCISCO – O MP Salvando Rios” NA CATEGORIA TRANSFORMAÇÃO SOCIAL NO 8º CONGRESSO BRASILEIRO DE GESTÃO DO MINISTÉRIO PÚBLICO</w:t>
      </w:r>
    </w:p>
    <w:p>
      <w:pPr>
        <w:pStyle w:val="Normal"/>
        <w:widowControl/>
        <w:tabs>
          <w:tab w:val="left" w:pos="761" w:leader="none"/>
          <w:tab w:val="left" w:pos="793" w:leader="none"/>
        </w:tabs>
        <w:rPr/>
      </w:pPr>
      <w:r>
        <w:rPr/>
      </w:r>
    </w:p>
    <w:p>
      <w:pPr>
        <w:pStyle w:val="StudentInformation"/>
        <w:jc w:val="both"/>
        <w:rPr/>
      </w:pPr>
      <w:r>
        <w:rPr>
          <w:rFonts w:eastAsia="Batang" w:cs="Times New Roman" w:ascii="Times New Roman" w:hAnsi="Times New Roman"/>
          <w:sz w:val="22"/>
          <w:szCs w:val="22"/>
          <w:lang w:eastAsia="hi-IN" w:bidi="hi-IN"/>
        </w:rPr>
        <w:t xml:space="preserve">O Projeto tem por objetivo a melhoria da quantidade e qualidade da ÁGUA através da transformação do agricultor em agente ativo na restauração e conservação do solo, das áreas de preservação de permanente e das reservas legais, de forma que este seja estimulado a atuar na preservação das nascentes e das margens de rios e possa perceber um valor pelo serviço prestado (recuperação e/ou preservação), de forma que ele mesmo se torne um “fiscal” dessas áreas, já que tal incentivo financeiro só lhe será pago em caso de comprovado cumprimento das metas estabelecidas. </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Para tanto, busca-se a atuação conjunta do Poder Público, de modo a fomentar os trabalhos de preservação e reflorestamento das áreas degradadas, seja com o Município cumprindo o papel de pagador pelos serviços ambientais efetivamente prestados, seja por meio dos engenheiros florestais e/ou técnicos agrônomos e ambientais que irão capacitar os agricultores a explorar adequadamente o ambiente, de modo que a preservação se torne uma fonte de renda que ultrapasse qualquer benefício que poderia ser obtido com a devastação.</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O projeto tem por piloto o trabalho desenvolvido na bacia hidrográfica do rio Curituba no município sergipano de Canindé do São Francisco, em que houve a adesão de 43  agricultores, cuja área já foi objeto de intervenções para inserção de espécies nativas, bem como foi realizada capacitação dos envolvidos com o intuito de conscientizá-los sobre a importância do reflorestamento e preservação e fornecer a estes conhecimentos e suporte técnico para melhor utilização dos recursos naturais na vida doméstica e como obtenção de renda.</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 xml:space="preserve">O projeto também foi vencedor em </w:t>
      </w:r>
      <w:r>
        <w:rPr>
          <w:rFonts w:eastAsia="Batang" w:cs="Times New Roman" w:ascii="Times New Roman" w:hAnsi="Times New Roman"/>
          <w:b/>
          <w:bCs/>
          <w:sz w:val="22"/>
          <w:szCs w:val="22"/>
          <w:lang w:eastAsia="hi-IN" w:bidi="hi-IN"/>
        </w:rPr>
        <w:t>1</w:t>
      </w:r>
      <w:r>
        <w:rPr>
          <w:rFonts w:eastAsia="Batang" w:cs="Times New Roman" w:ascii="Times New Roman" w:hAnsi="Times New Roman"/>
          <w:b/>
          <w:bCs/>
          <w:sz w:val="22"/>
          <w:szCs w:val="22"/>
          <w:vertAlign w:val="superscript"/>
          <w:lang w:eastAsia="hi-IN" w:bidi="hi-IN"/>
        </w:rPr>
        <w:t xml:space="preserve">o </w:t>
      </w:r>
      <w:r>
        <w:rPr>
          <w:rFonts w:eastAsia="Batang" w:cs="Times New Roman" w:ascii="Times New Roman" w:hAnsi="Times New Roman"/>
          <w:b/>
          <w:bCs/>
          <w:sz w:val="22"/>
          <w:szCs w:val="22"/>
          <w:lang w:eastAsia="hi-IN" w:bidi="hi-IN"/>
        </w:rPr>
        <w:t>Lugar do Edital da Agência Nacional de Águas</w:t>
      </w:r>
      <w:r>
        <w:rPr>
          <w:rFonts w:eastAsia="Batang" w:cs="Times New Roman" w:ascii="Times New Roman" w:hAnsi="Times New Roman"/>
          <w:sz w:val="22"/>
          <w:szCs w:val="22"/>
          <w:lang w:eastAsia="hi-IN" w:bidi="hi-IN"/>
        </w:rPr>
        <w:t>, concorrendo com projetos de todo o Brasil,</w:t>
      </w:r>
      <w:r>
        <w:rPr>
          <w:rFonts w:eastAsia="Batang" w:cs="Times New Roman" w:ascii="Times New Roman" w:hAnsi="Times New Roman"/>
          <w:b/>
          <w:bCs/>
          <w:sz w:val="22"/>
          <w:szCs w:val="22"/>
          <w:lang w:eastAsia="hi-IN" w:bidi="hi-IN"/>
        </w:rPr>
        <w:t xml:space="preserve"> </w:t>
      </w:r>
      <w:r>
        <w:rPr>
          <w:rFonts w:eastAsia="Batang" w:cs="Times New Roman" w:ascii="Times New Roman" w:hAnsi="Times New Roman"/>
          <w:sz w:val="22"/>
          <w:szCs w:val="22"/>
          <w:lang w:eastAsia="hi-IN" w:bidi="hi-IN"/>
        </w:rPr>
        <w:t>com aprovação de ampliação para a região da Foz do São Francisco, abrangendo a Bacia Hidrográfica do Rio Betume nos municípios sergipanos de Japaratuba, Pacatuba, Ilha das Flores, Japoatã, Neópolis e Muribeca.</w:t>
      </w:r>
    </w:p>
    <w:p>
      <w:pPr>
        <w:pStyle w:val="Normal"/>
        <w:widowControl/>
        <w:tabs>
          <w:tab w:val="left" w:pos="761" w:leader="none"/>
          <w:tab w:val="left" w:pos="793" w:leader="none"/>
        </w:tabs>
        <w:rPr/>
      </w:pPr>
      <w:r>
        <w:rPr/>
      </w:r>
    </w:p>
    <w:p>
      <w:pPr>
        <w:pStyle w:val="Normal"/>
        <w:widowControl/>
        <w:tabs>
          <w:tab w:val="left" w:pos="761" w:leader="none"/>
          <w:tab w:val="left" w:pos="793" w:leader="none"/>
        </w:tabs>
        <w:rPr/>
      </w:pPr>
      <w:r>
        <w:rPr>
          <w:rFonts w:cs="Times New Roman"/>
          <w:b/>
          <w:bCs/>
          <w:sz w:val="22"/>
          <w:szCs w:val="22"/>
          <w:shd w:fill="C0C0C0" w:val="clear"/>
        </w:rPr>
        <w:t>3.1 FPI/SE RECEBEU O V PRÊMIO DA REPÚBLICA</w:t>
      </w:r>
    </w:p>
    <w:p>
      <w:pPr>
        <w:pStyle w:val="Normal"/>
        <w:widowControl/>
        <w:jc w:val="center"/>
        <w:rPr/>
      </w:pPr>
      <w:r>
        <w:rPr/>
      </w:r>
    </w:p>
    <w:p>
      <w:pPr>
        <w:pStyle w:val="Ttulo1"/>
        <w:widowControl/>
        <w:numPr>
          <w:ilvl w:val="0"/>
          <w:numId w:val="1"/>
        </w:numPr>
        <w:ind w:left="0" w:right="0" w:hanging="0"/>
        <w:jc w:val="both"/>
        <w:rPr/>
      </w:pPr>
      <w:r>
        <w:rPr>
          <w:rFonts w:cs="Times New Roman"/>
          <w:sz w:val="22"/>
          <w:szCs w:val="22"/>
        </w:rPr>
        <w:t xml:space="preserve">A Fiscalização Preventiva Integrada em Sergipe (FPI/SE), coordenada pelo Ministério Público de Sergipe (MPSE) por meio do Centro de Apoio de Proteção ao Rio São Francisco e às Nascentes (CAOpSFN) e pelo Ministério Público Federal em Sergipe recebeu </w:t>
      </w:r>
      <w:r>
        <w:rPr>
          <w:rFonts w:cs="Times New Roman"/>
          <w:b/>
          <w:bCs/>
          <w:sz w:val="22"/>
          <w:szCs w:val="22"/>
        </w:rPr>
        <w:t>Menção Honrosa</w:t>
      </w:r>
      <w:r>
        <w:rPr>
          <w:rFonts w:cs="Times New Roman"/>
          <w:sz w:val="22"/>
          <w:szCs w:val="22"/>
        </w:rPr>
        <w:t xml:space="preserve"> no </w:t>
      </w:r>
      <w:r>
        <w:rPr>
          <w:rFonts w:cs="Times New Roman"/>
          <w:b/>
          <w:bCs/>
          <w:sz w:val="22"/>
          <w:szCs w:val="22"/>
        </w:rPr>
        <w:t>V Prêmio da República</w:t>
      </w:r>
      <w:r>
        <w:rPr>
          <w:rFonts w:cs="Times New Roman"/>
          <w:sz w:val="22"/>
          <w:szCs w:val="22"/>
        </w:rPr>
        <w:t>.</w:t>
      </w:r>
    </w:p>
    <w:p>
      <w:pPr>
        <w:pStyle w:val="Corpodotexto"/>
        <w:widowControl/>
        <w:jc w:val="both"/>
        <w:rPr/>
      </w:pPr>
      <w:r>
        <w:rPr/>
      </w:r>
    </w:p>
    <w:p>
      <w:pPr>
        <w:pStyle w:val="Corpodotexto"/>
        <w:widowControl/>
        <w:jc w:val="both"/>
        <w:rPr/>
      </w:pPr>
      <w:r>
        <w:rPr>
          <w:rFonts w:cs="Times New Roman"/>
          <w:sz w:val="22"/>
          <w:szCs w:val="22"/>
        </w:rPr>
        <w:t xml:space="preserve">A premiação foi recebida em nome das 32 (trinta e duas) instituições parceiras: </w:t>
      </w:r>
      <w:r>
        <w:rPr>
          <w:rFonts w:eastAsia="Liberation Serif" w:cs="Times New Roman"/>
          <w:color w:val="1D1D1B"/>
          <w:sz w:val="22"/>
          <w:szCs w:val="22"/>
        </w:rPr>
        <w:t xml:space="preserve">MPSE, MPF/SE, MPT, CBHSF, IBAMA/SE, SEMARH/SE, ADEMA, </w:t>
      </w:r>
      <w:r>
        <w:rPr>
          <w:rFonts w:eastAsia="Times New Roman" w:cs="Times New Roman"/>
          <w:color w:val="1D1D1B"/>
          <w:sz w:val="22"/>
          <w:szCs w:val="22"/>
        </w:rPr>
        <w:t>Ppamb/PMSE</w:t>
      </w:r>
      <w:r>
        <w:rPr>
          <w:rFonts w:eastAsia="Liberation Serif" w:cs="Times New Roman"/>
          <w:color w:val="1D1D1B"/>
          <w:sz w:val="22"/>
          <w:szCs w:val="22"/>
        </w:rPr>
        <w:t>, SFA/SE, EMDAGRO, FUNASA/SE, DIVISA/SE, PRF/SE, BPRv/PMSE, SRTE/SE, CREA/SE, IPHAN, SECULT, UFS, Capitania dos Portos, ICMBio, SPU, Polícia Federal, PCSE, SSP/SE, DNPM, Centro da Terra, SEMA, MAX, CBM/SE, Fundação Cultural Palmares e INCRA</w:t>
      </w:r>
      <w:r>
        <w:rPr>
          <w:rFonts w:eastAsia="Times New Roman" w:cs="Times New Roman"/>
          <w:color w:val="1D1D1B"/>
          <w:sz w:val="22"/>
          <w:szCs w:val="22"/>
        </w:rPr>
        <w:t>.</w:t>
      </w:r>
    </w:p>
    <w:p>
      <w:pPr>
        <w:pStyle w:val="Corpodotexto"/>
        <w:widowControl/>
        <w:spacing w:before="0" w:after="0"/>
        <w:jc w:val="both"/>
        <w:rPr/>
      </w:pPr>
      <w:r>
        <w:rPr/>
      </w:r>
    </w:p>
    <w:p>
      <w:pPr>
        <w:pStyle w:val="Corpodotexto"/>
        <w:widowControl/>
        <w:jc w:val="both"/>
        <w:rPr/>
      </w:pPr>
      <w:r>
        <w:rPr>
          <w:rFonts w:eastAsia="Times New Roman" w:cs="Times New Roman"/>
          <w:sz w:val="22"/>
          <w:szCs w:val="22"/>
        </w:rPr>
        <w:t xml:space="preserve">A FPI/SE fiscalizou, através das Equipes SANEAMENTO I E II, </w:t>
      </w:r>
      <w:r>
        <w:rPr>
          <w:rFonts w:cs="Times New Roman"/>
          <w:sz w:val="22"/>
          <w:szCs w:val="22"/>
        </w:rPr>
        <w:t xml:space="preserve">GESTÃO AMBIENTAL I E II, ESPELEOLOGIA, ARQUEOLOGIA E PALEONTOLOGIA, MINERAÇÃO, AQUICULTURA, AQUÁTICA, FAUNA, PATRIMONIO CULTURAL E COMUNIDADES TRADICIONAIS, AGROTÓXICOS, FLORA e </w:t>
      </w:r>
      <w:r>
        <w:rPr>
          <w:rFonts w:eastAsia="Times New Roman" w:cs="Times New Roman"/>
          <w:sz w:val="22"/>
          <w:szCs w:val="22"/>
        </w:rPr>
        <w:t>ABATE, nos anos de 2016, 2017 e 2018, integralmente o Baixo São Francisco Sergipano nos municípios de AMPARO DE SÃO FRANCISCO, AQUIDABÃ, BREJO GRANDE, CANHOBA, CANINDÉ DE SÃO FRANCISCO, CAPELA, CEDRO DE SÃO JOÃO, FEIRA NOVA, GARARU, GRACHO CARDOSO, ILHA DAS FLORES, ITABI, JAPARATUBA, JAPOATÃ, MALHADA DOS BOIS, MONTE ALEGRE DE SERGIPE, MURIBECA, NEÓPOLIS, NOSSA SENHORA DA GLÓRIA, NOSSA SENHORA DE LOURDES, PACATUBA, PIRAMBU, POÇO REDONDO, PORTO DA FOLHA, PROPRIÁ, SANTANA DO SÃO FRANCISCO, SÃO FRANCISCO e TELHA, destacando-se</w:t>
      </w:r>
      <w:r>
        <w:rPr>
          <w:rFonts w:cs="Times New Roman"/>
          <w:sz w:val="22"/>
          <w:szCs w:val="22"/>
        </w:rPr>
        <w:t xml:space="preserve"> a fiscalização  a lixões, sistemas de abastecimento de água, esgotamento sanitário, matadouros, resgate de animais, apreensão de agrotóxicos, laticínios irregulares, etc.</w:t>
      </w:r>
    </w:p>
    <w:p>
      <w:pPr>
        <w:pStyle w:val="Corpodotexto"/>
        <w:widowControl/>
        <w:jc w:val="both"/>
        <w:rPr/>
      </w:pPr>
      <w:r>
        <w:rPr/>
      </w:r>
    </w:p>
    <w:p>
      <w:pPr>
        <w:pStyle w:val="Corpodotexto"/>
        <w:widowControl/>
        <w:jc w:val="both"/>
        <w:rPr/>
      </w:pPr>
      <w:r>
        <w:rPr>
          <w:rFonts w:cs="Times New Roman"/>
          <w:sz w:val="22"/>
          <w:szCs w:val="22"/>
        </w:rPr>
        <w:t xml:space="preserve">O </w:t>
      </w:r>
      <w:r>
        <w:rPr>
          <w:rFonts w:cs="Times New Roman"/>
          <w:b/>
          <w:bCs/>
          <w:sz w:val="22"/>
          <w:szCs w:val="22"/>
        </w:rPr>
        <w:t>Prêmio República</w:t>
      </w:r>
      <w:r>
        <w:rPr>
          <w:rFonts w:cs="Times New Roman"/>
          <w:sz w:val="22"/>
          <w:szCs w:val="22"/>
        </w:rPr>
        <w:t xml:space="preserve"> já está em sua 5ª edição e é um instrumento anual de identificação, premiação e divulgação das atuações bem-sucedidas do Ministério Público que contribuam para a realização da Justiça em benefício da sociedade e em defesa do estado democrático de direito. A </w:t>
      </w:r>
      <w:r>
        <w:rPr>
          <w:rFonts w:cs="Times New Roman"/>
          <w:b/>
          <w:bCs/>
          <w:sz w:val="22"/>
          <w:szCs w:val="22"/>
        </w:rPr>
        <w:t>Menção Honrosa</w:t>
      </w:r>
      <w:r>
        <w:rPr>
          <w:rFonts w:cs="Times New Roman"/>
          <w:sz w:val="22"/>
          <w:szCs w:val="22"/>
        </w:rPr>
        <w:t xml:space="preserve"> à FPI/SE foi realizada na categoria “Combate à Corrupção”.</w:t>
      </w:r>
    </w:p>
    <w:p>
      <w:pPr>
        <w:pStyle w:val="Normal"/>
        <w:widowControl/>
        <w:tabs>
          <w:tab w:val="left" w:pos="761" w:leader="none"/>
          <w:tab w:val="left" w:pos="793" w:leader="none"/>
        </w:tabs>
        <w:jc w:val="both"/>
        <w:rPr/>
      </w:pPr>
      <w:r>
        <w:rPr/>
      </w:r>
    </w:p>
    <w:p>
      <w:pPr>
        <w:pStyle w:val="Normal"/>
        <w:widowControl/>
        <w:tabs>
          <w:tab w:val="left" w:pos="761" w:leader="none"/>
          <w:tab w:val="left" w:pos="793" w:leader="none"/>
        </w:tabs>
        <w:jc w:val="both"/>
        <w:rPr/>
      </w:pPr>
      <w:r>
        <w:rPr>
          <w:rFonts w:cs="Times New Roman"/>
          <w:b/>
          <w:bCs/>
          <w:sz w:val="22"/>
          <w:szCs w:val="22"/>
          <w:shd w:fill="DDDDDD" w:val="clear"/>
        </w:rPr>
        <w:t>3.2 “CARAVANA DE SANEAMENTO” recebe VOTOS DE CONGRATULAÇÕES DA ASSEMBLEIA LEGISLATIVA DE SERGIPE – ALESE</w:t>
      </w:r>
    </w:p>
    <w:p>
      <w:pPr>
        <w:pStyle w:val="Normal"/>
        <w:widowControl/>
        <w:tabs>
          <w:tab w:val="left" w:pos="761" w:leader="none"/>
          <w:tab w:val="left" w:pos="793" w:leader="none"/>
        </w:tabs>
        <w:jc w:val="both"/>
        <w:rPr/>
      </w:pPr>
      <w:r>
        <w:rPr/>
      </w:r>
    </w:p>
    <w:p>
      <w:pPr>
        <w:pStyle w:val="Normal"/>
        <w:spacing w:lineRule="auto" w:line="360"/>
        <w:ind w:left="0" w:right="0" w:firstLine="1134"/>
        <w:jc w:val="both"/>
        <w:rPr/>
      </w:pPr>
      <w:r>
        <w:rPr/>
      </w:r>
    </w:p>
    <w:p>
      <w:pPr>
        <w:pStyle w:val="Normal"/>
        <w:ind w:left="0" w:right="0" w:firstLine="1134"/>
        <w:jc w:val="both"/>
        <w:rPr/>
      </w:pPr>
      <w:r>
        <w:rPr>
          <w:rStyle w:val="Citao1"/>
          <w:rFonts w:eastAsia="Times New Roman" w:cs="Times New Roman"/>
          <w:i w:val="false"/>
          <w:iCs w:val="false"/>
          <w:sz w:val="22"/>
          <w:szCs w:val="22"/>
          <w:lang w:bidi="ar-SA"/>
        </w:rPr>
        <w:t xml:space="preserve">Entre os dias 20 e 24 de março de 2017, o Ministério Público de Sergipe (MPSE), por meio do Centro de Apoio Operacional do Rio São Francisco e às Nascentes (CAOpSFN), com o apoio do Comitê da Bacia Hidrográfica do São Francisco (CBHSF) promoveu a “Caravana de Saneamento” no Auditório do Fórum de Propriá/SE. </w:t>
      </w:r>
    </w:p>
    <w:p>
      <w:pPr>
        <w:pStyle w:val="Normal"/>
        <w:ind w:left="0" w:right="0" w:firstLine="1134"/>
        <w:jc w:val="both"/>
        <w:rPr/>
      </w:pPr>
      <w:r>
        <w:rPr/>
      </w:r>
    </w:p>
    <w:p>
      <w:pPr>
        <w:pStyle w:val="Normal"/>
        <w:ind w:left="0" w:right="0" w:firstLine="1134"/>
        <w:jc w:val="both"/>
        <w:rPr/>
      </w:pPr>
      <w:r>
        <w:rPr>
          <w:rStyle w:val="Citao1"/>
          <w:rFonts w:eastAsia="Times New Roman" w:cs="Times New Roman"/>
          <w:i w:val="false"/>
          <w:iCs w:val="false"/>
          <w:sz w:val="22"/>
          <w:szCs w:val="22"/>
          <w:lang w:bidi="ar-SA"/>
        </w:rPr>
        <w:t xml:space="preserve">O objetivo foi auxiliar a formação técnica dos municípios e da sociedade civil no desenvolvimento de políticas de saneamento, inclusive com produção, discussão e apresentação de minuta de </w:t>
      </w:r>
      <w:r>
        <w:rPr>
          <w:rStyle w:val="Citao1"/>
          <w:rFonts w:eastAsia="Times New Roman" w:cs="Times New Roman"/>
          <w:sz w:val="22"/>
          <w:szCs w:val="22"/>
          <w:lang w:bidi="ar-SA"/>
        </w:rPr>
        <w:t xml:space="preserve">Termo de Referência </w:t>
      </w:r>
      <w:r>
        <w:rPr>
          <w:rStyle w:val="Citao1"/>
          <w:rFonts w:eastAsia="Times New Roman" w:cs="Times New Roman"/>
          <w:i w:val="false"/>
          <w:iCs w:val="false"/>
          <w:sz w:val="22"/>
          <w:szCs w:val="22"/>
          <w:lang w:bidi="ar-SA"/>
        </w:rPr>
        <w:t>para elaboração do Plano Municipal de Saneamento Básico (PMSB).</w:t>
      </w:r>
    </w:p>
    <w:p>
      <w:pPr>
        <w:pStyle w:val="Normal"/>
        <w:ind w:left="0" w:right="0" w:firstLine="1134"/>
        <w:jc w:val="both"/>
        <w:rPr/>
      </w:pPr>
      <w:r>
        <w:rPr/>
      </w:r>
    </w:p>
    <w:p>
      <w:pPr>
        <w:pStyle w:val="Normal"/>
        <w:ind w:left="0" w:right="0" w:firstLine="1134"/>
        <w:jc w:val="both"/>
        <w:rPr/>
      </w:pPr>
      <w:r>
        <w:rPr>
          <w:rStyle w:val="Citao1"/>
          <w:rFonts w:eastAsia="Times New Roman" w:cs="Times New Roman"/>
          <w:i w:val="false"/>
          <w:iCs w:val="false"/>
          <w:sz w:val="22"/>
          <w:szCs w:val="22"/>
          <w:lang w:bidi="ar-SA"/>
        </w:rPr>
        <w:t xml:space="preserve">Foram convidados os 28 municípios do Baixo São Francisco Sergipano e o evento foi considerado um sucesso, com alta participação do Poder Público, representando 89% dos participantes. </w:t>
      </w:r>
    </w:p>
    <w:p>
      <w:pPr>
        <w:pStyle w:val="Normal"/>
        <w:ind w:left="0" w:right="0" w:firstLine="1134"/>
        <w:jc w:val="both"/>
        <w:rPr/>
      </w:pPr>
      <w:r>
        <w:rPr/>
      </w:r>
    </w:p>
    <w:p>
      <w:pPr>
        <w:pStyle w:val="Normal"/>
        <w:ind w:left="0" w:right="0" w:firstLine="1134"/>
        <w:jc w:val="both"/>
        <w:rPr/>
      </w:pPr>
      <w:r>
        <w:rPr>
          <w:rStyle w:val="Citao1"/>
          <w:rFonts w:eastAsia="Times New Roman" w:cs="Times New Roman"/>
          <w:i w:val="false"/>
          <w:iCs w:val="false"/>
          <w:sz w:val="22"/>
          <w:szCs w:val="22"/>
          <w:lang w:bidi="ar-SA"/>
        </w:rPr>
        <w:t xml:space="preserve">Deve-se destacar que, segundo o Decreto Federal n. 7.217/2010 (art. 26, §2º), a partir de 31/12/2017 o PMSB se tornou requisito obrigatório para que qualquer município possa receber recursos do Governo Federal para as ações e serviços públicos de saneamento básico. </w:t>
      </w:r>
    </w:p>
    <w:p>
      <w:pPr>
        <w:pStyle w:val="Normal"/>
        <w:ind w:left="0" w:right="0" w:firstLine="1134"/>
        <w:jc w:val="both"/>
        <w:rPr/>
      </w:pPr>
      <w:r>
        <w:rPr/>
      </w:r>
    </w:p>
    <w:p>
      <w:pPr>
        <w:pStyle w:val="Normal"/>
        <w:ind w:left="0" w:right="0" w:firstLine="1134"/>
        <w:jc w:val="both"/>
        <w:rPr/>
      </w:pPr>
      <w:r>
        <w:rPr>
          <w:rStyle w:val="Citao1"/>
          <w:rFonts w:eastAsia="Times New Roman" w:cs="Times New Roman"/>
          <w:i w:val="false"/>
          <w:iCs w:val="false"/>
          <w:sz w:val="22"/>
          <w:szCs w:val="22"/>
          <w:lang w:bidi="ar-SA"/>
        </w:rPr>
        <w:t>Nesse sentido, a Assembleia Legislativa de Sergipe (ALESE) aprovou, por unanimidade, o Requerimento n. 170/2017 que apresentou “(...) Votos de Congratulações</w:t>
      </w:r>
      <w:r>
        <w:rPr>
          <w:rStyle w:val="Citao1"/>
          <w:rFonts w:eastAsia="Times New Roman" w:cs="Times New Roman"/>
          <w:sz w:val="22"/>
          <w:szCs w:val="22"/>
          <w:lang w:bidi="ar-SA"/>
        </w:rPr>
        <w:t xml:space="preserve"> </w:t>
      </w:r>
      <w:r>
        <w:rPr>
          <w:rStyle w:val="Citao1"/>
          <w:rFonts w:eastAsia="Times New Roman" w:cs="Times New Roman"/>
          <w:i w:val="false"/>
          <w:iCs w:val="false"/>
          <w:sz w:val="22"/>
          <w:szCs w:val="22"/>
          <w:lang w:bidi="ar-SA"/>
        </w:rPr>
        <w:t>pela realização das Oficinas de capacitação para elaboração dos planos municipais de saneamento (...)” à Diretora do Centro de Apoio ao Rio São Francisco e Nascentes do MP/SE.</w:t>
      </w:r>
    </w:p>
    <w:p>
      <w:pPr>
        <w:pStyle w:val="Normal"/>
        <w:spacing w:lineRule="auto" w:line="360"/>
        <w:ind w:left="0" w:right="0" w:firstLine="1134"/>
        <w:jc w:val="both"/>
        <w:rPr/>
      </w:pPr>
      <w:r>
        <w:rPr/>
      </w:r>
    </w:p>
    <w:p>
      <w:pPr>
        <w:pStyle w:val="Normal"/>
        <w:widowControl/>
        <w:tabs>
          <w:tab w:val="left" w:pos="761" w:leader="none"/>
          <w:tab w:val="left" w:pos="793" w:leader="none"/>
        </w:tabs>
        <w:jc w:val="both"/>
        <w:rPr/>
      </w:pPr>
      <w:r>
        <w:rPr>
          <w:rFonts w:cs="Times New Roman"/>
          <w:b/>
          <w:bCs/>
          <w:sz w:val="22"/>
          <w:szCs w:val="22"/>
          <w:shd w:fill="DDDDDD" w:val="clear"/>
        </w:rPr>
        <w:t xml:space="preserve">3.3 SIMPÓSIO EM REFLEXÃO AO DIA MUNDIAL DA ÁGUA recebe VOTOS DE CONGRATULAÇÕES DA ASSEMBLEIA LEGISLATIVA DE SERGIPE - ALESE  </w:t>
      </w:r>
    </w:p>
    <w:p>
      <w:pPr>
        <w:pStyle w:val="Normal"/>
        <w:widowControl/>
        <w:tabs>
          <w:tab w:val="left" w:pos="761" w:leader="none"/>
          <w:tab w:val="left" w:pos="793" w:leader="none"/>
        </w:tabs>
        <w:rPr/>
      </w:pPr>
      <w:r>
        <w:rPr/>
      </w:r>
    </w:p>
    <w:p>
      <w:pPr>
        <w:pStyle w:val="Normal"/>
        <w:widowControl/>
        <w:tabs>
          <w:tab w:val="left" w:pos="761" w:leader="none"/>
          <w:tab w:val="left" w:pos="793" w:leader="none"/>
        </w:tabs>
        <w:jc w:val="both"/>
        <w:rPr/>
      </w:pPr>
      <w:r>
        <w:rPr>
          <w:rFonts w:cs="Times New Roman"/>
          <w:b/>
          <w:bCs/>
          <w:sz w:val="22"/>
          <w:szCs w:val="22"/>
          <w:shd w:fill="DDDDDD" w:val="clear"/>
        </w:rPr>
        <w:t>3.4 VOTO DE LOUVOR DO COLÉGIO DE PROCURADORES DE JUSTIÇA EM RAZÃO DO PROJETO DO MINISTÉRIO PÚBLICO DE SERGIPE “NASCENTES DO RIO SÃO FRANCISCO – O MP SALVANDO RIOS” TER SIDO VENCEDOR DO PRÊMIO CNMP NA CATEGORIA “TRANSFORMAÇÃO SOCIAL”</w:t>
      </w:r>
    </w:p>
    <w:p>
      <w:pPr>
        <w:pStyle w:val="Normal"/>
        <w:widowControl/>
        <w:tabs>
          <w:tab w:val="left" w:pos="761" w:leader="none"/>
          <w:tab w:val="left" w:pos="793" w:leader="none"/>
        </w:tabs>
        <w:jc w:val="both"/>
        <w:rPr/>
      </w:pPr>
      <w:r>
        <w:rPr/>
      </w:r>
    </w:p>
    <w:p>
      <w:pPr>
        <w:pStyle w:val="Normal"/>
        <w:widowControl/>
        <w:tabs>
          <w:tab w:val="left" w:pos="761" w:leader="none"/>
          <w:tab w:val="left" w:pos="793" w:leader="none"/>
        </w:tabs>
        <w:jc w:val="both"/>
        <w:rPr/>
      </w:pPr>
      <w:r>
        <w:rPr>
          <w:rFonts w:cs="Times New Roman"/>
          <w:b/>
          <w:bCs/>
          <w:sz w:val="22"/>
          <w:szCs w:val="22"/>
          <w:shd w:fill="DDDDDD" w:val="clear"/>
        </w:rPr>
        <w:t>3.5 VOTO DE LOUVOR DO COLÉGIO DE PROCURADORES DE JUSTIÇA EM VIRTUDE DO RELEVANTE TRABALHO DESENVOLVIDO À FRENTE DO CENTRO DE APOIO OPERACIONAL DO SÃO FRANCISCO E NASCENTES</w:t>
      </w:r>
    </w:p>
    <w:p>
      <w:pPr>
        <w:pStyle w:val="Normal"/>
        <w:widowControl/>
        <w:tabs>
          <w:tab w:val="left" w:pos="761" w:leader="none"/>
          <w:tab w:val="left" w:pos="793" w:leader="none"/>
        </w:tabs>
        <w:jc w:val="both"/>
        <w:rPr/>
      </w:pPr>
      <w:r>
        <w:rPr/>
      </w:r>
    </w:p>
    <w:p>
      <w:pPr>
        <w:pStyle w:val="Normal"/>
        <w:widowControl/>
        <w:tabs>
          <w:tab w:val="left" w:pos="761" w:leader="none"/>
          <w:tab w:val="left" w:pos="793" w:leader="none"/>
        </w:tabs>
        <w:jc w:val="both"/>
        <w:rPr/>
      </w:pPr>
      <w:r>
        <w:rPr>
          <w:rFonts w:cs="Times New Roman"/>
          <w:b/>
          <w:bCs/>
          <w:sz w:val="22"/>
          <w:szCs w:val="22"/>
          <w:shd w:fill="DDDDDD" w:val="clear"/>
        </w:rPr>
        <w:t>3.6 REGISTRO DOS PRINCIPAIS CURSOS E PALESTRAS EM ORDEM CRONOLÓGICA</w:t>
      </w:r>
    </w:p>
    <w:p>
      <w:pPr>
        <w:pStyle w:val="Normal"/>
        <w:widowControl/>
        <w:tabs>
          <w:tab w:val="left" w:pos="761" w:leader="none"/>
          <w:tab w:val="left" w:pos="793" w:leader="none"/>
        </w:tabs>
        <w:rPr/>
      </w:pPr>
      <w:r>
        <w:rPr/>
      </w:r>
    </w:p>
    <w:p>
      <w:pPr>
        <w:pStyle w:val="Normal"/>
        <w:tabs>
          <w:tab w:val="left" w:pos="761" w:leader="none"/>
          <w:tab w:val="left" w:pos="793" w:leader="none"/>
          <w:tab w:val="left" w:pos="3857" w:leader="none"/>
        </w:tabs>
        <w:spacing w:lineRule="auto" w:line="360" w:before="113" w:after="113"/>
        <w:jc w:val="both"/>
        <w:rPr/>
      </w:pPr>
      <w:r>
        <w:rPr>
          <w:rFonts w:eastAsia="TimesNewRomanPS-BoldMT" w:cs="Times New Roman"/>
          <w:i/>
          <w:iCs/>
          <w:color w:val="FF3300"/>
          <w:sz w:val="22"/>
          <w:szCs w:val="22"/>
          <w:shd w:fill="FFFFFF" w:val="clear"/>
          <w:lang w:eastAsia="en-US"/>
        </w:rPr>
        <w:t xml:space="preserve">- </w:t>
      </w:r>
      <w:r>
        <w:rPr>
          <w:rFonts w:eastAsia="TimesNewRomanPS-BoldMT" w:cs="Times New Roman"/>
          <w:i/>
          <w:iCs/>
          <w:sz w:val="22"/>
          <w:szCs w:val="22"/>
          <w:shd w:fill="FFFFFF" w:val="clear"/>
          <w:lang w:eastAsia="en-US"/>
        </w:rPr>
        <w:t xml:space="preserve">Coordenação da Fiscalização Preventiva Integrada – FPI, realizada no período de 06 à 18/05/2018, tendo como cidade-base Nossa Senhora da Glória, com atividade nos municípios de AQUIDABÃ, CAPELA, CEDRO DE SÃO JOÃO, GRACCHO CARDOSO, JAPOATÃ, MALHADA DOS BOIS, MURIBECA, SÃO FRANCISCO E NOSSA SENHORA DA GLÓRIA, desenvolvido pelas equipes </w:t>
      </w:r>
      <w:r>
        <w:rPr>
          <w:rFonts w:eastAsia="Times New Roman" w:cs="Times New Roman"/>
          <w:i/>
          <w:iCs/>
          <w:sz w:val="22"/>
          <w:szCs w:val="22"/>
          <w:shd w:fill="FFFFFF" w:val="clear"/>
          <w:lang w:eastAsia="en-US"/>
        </w:rPr>
        <w:t xml:space="preserve">SANEAMENTO I E II, </w:t>
      </w:r>
      <w:r>
        <w:rPr>
          <w:rFonts w:eastAsia="TimesNewRomanPS-BoldMT" w:cs="Times New Roman"/>
          <w:i/>
          <w:iCs/>
          <w:sz w:val="22"/>
          <w:szCs w:val="22"/>
          <w:shd w:fill="FFFFFF" w:val="clear"/>
          <w:lang w:eastAsia="en-US"/>
        </w:rPr>
        <w:t xml:space="preserve">GESTÃO AMBIENTAL I E II, ESPELEOLOGIA, ARQUEOLOGIA E PALEONTOLOGIA, MINERAÇÃO, AQUICULTURA, AQUÁTICA, FAUNA, PATRIMONIO CULTURAL E COMUNIDADES TRADICIONAIS, AGROTÓXICOS, FLORA e </w:t>
      </w:r>
      <w:r>
        <w:rPr>
          <w:rFonts w:eastAsia="Times New Roman" w:cs="Times New Roman"/>
          <w:i/>
          <w:iCs/>
          <w:sz w:val="22"/>
          <w:szCs w:val="22"/>
          <w:shd w:fill="FFFFFF" w:val="clear"/>
          <w:lang w:eastAsia="en-US"/>
        </w:rPr>
        <w:t>ABATE.</w:t>
      </w:r>
    </w:p>
    <w:p>
      <w:pPr>
        <w:pStyle w:val="Normal"/>
        <w:spacing w:lineRule="auto" w:line="360" w:before="113" w:after="113"/>
        <w:jc w:val="both"/>
        <w:rPr/>
      </w:pPr>
      <w:r>
        <w:rPr>
          <w:rFonts w:cs="Times New Roman"/>
          <w:i/>
          <w:iCs/>
          <w:sz w:val="22"/>
          <w:szCs w:val="22"/>
          <w:shd w:fill="FFFFFF" w:val="clear"/>
        </w:rPr>
        <w:t xml:space="preserve">- Participação no XI ENREHSE de 02 a 05/04/2018 - Encontro Regional de Recursos Hídricos em Sergipe realizado no Auditório da CODISE/SE, com o tema Soluções Naturais para a Água. </w:t>
      </w:r>
      <w:r>
        <w:rPr>
          <w:rFonts w:cs="Times New Roman"/>
          <w:i/>
          <w:iCs/>
          <w:sz w:val="22"/>
          <w:szCs w:val="22"/>
        </w:rPr>
        <w:t>O encontro reuniu profissionais e estudantes de várias áreas do conhecimento relacionadas ao estudo da água. Foram apresentadas, as mais recentes experiências na forma de trabalhos técnicos, minicursos e palestras, como meio de difusão do conhecimento para preservação e conservação da água.</w:t>
      </w:r>
    </w:p>
    <w:p>
      <w:pPr>
        <w:pStyle w:val="Normal"/>
        <w:spacing w:lineRule="auto" w:line="360" w:before="113" w:after="113"/>
        <w:jc w:val="both"/>
        <w:rPr/>
      </w:pPr>
      <w:r>
        <w:rPr>
          <w:rFonts w:cs="Times New Roman"/>
          <w:i/>
          <w:iCs/>
          <w:sz w:val="22"/>
          <w:szCs w:val="22"/>
          <w:shd w:fill="FFFFFF" w:val="clear"/>
        </w:rPr>
        <w:t>- Participação no 8º Fórum Mundial da Água em Brasília/DF, de 18 à 23/03/2018, considerado o maior Evento Global sobre o tema Água que é organizado pelo Conselho Mundial da Água, uma organização internacional que reúne interessados no assunto e tem como missão “promover a conscientização, construir compromissos políticos e provocar ações em temas críticos relacionados à água para facilitar a sua conservação, proteção, desenvolvimento, planejamento, gestão e uso eficiente, em todas as dimensões, com base na sustentabilidade ambiental, para o benefício de toda a vida na terra".</w:t>
      </w:r>
    </w:p>
    <w:p>
      <w:pPr>
        <w:pStyle w:val="Normal"/>
        <w:spacing w:lineRule="auto" w:line="360" w:before="113" w:after="113"/>
        <w:jc w:val="both"/>
        <w:rPr/>
      </w:pPr>
      <w:r>
        <w:rPr>
          <w:rFonts w:cs="Times New Roman"/>
          <w:i/>
          <w:iCs/>
          <w:sz w:val="22"/>
          <w:szCs w:val="22"/>
          <w:shd w:fill="FFFFFF" w:val="clear"/>
        </w:rPr>
        <w:t xml:space="preserve">Na oportunidade, foi assinada por este MP/SE, através do CaopSFN, a Carta de criação do Instituto Global do Ministério Público para o Ambiente. O instituto  reúne membros dos Ministérios Públicos do Brasil e do Mundo em torno de temas ligados à proteção dos recursos naturais, sobretudo, a Água. O documento, classificado pela PGR como a “pedra fundamental do Instituto”, foi assinado por nove países, além de associações nacionais e internacionais ligadas ao Ministério Público. </w:t>
      </w:r>
    </w:p>
    <w:p>
      <w:pPr>
        <w:pStyle w:val="Normal"/>
        <w:spacing w:lineRule="auto" w:line="360" w:before="113" w:after="113"/>
        <w:jc w:val="both"/>
        <w:rPr/>
      </w:pPr>
      <w:r>
        <w:rPr>
          <w:rFonts w:cs="Times New Roman"/>
          <w:b/>
          <w:bCs/>
          <w:i/>
          <w:iCs/>
          <w:sz w:val="22"/>
          <w:szCs w:val="22"/>
          <w:shd w:fill="FFFFFF" w:val="clear"/>
        </w:rPr>
        <w:t xml:space="preserve">- </w:t>
      </w:r>
      <w:r>
        <w:rPr>
          <w:rFonts w:cs="Times New Roman"/>
          <w:i/>
          <w:iCs/>
          <w:sz w:val="22"/>
          <w:szCs w:val="22"/>
          <w:shd w:fill="FFFFFF" w:val="clear"/>
        </w:rPr>
        <w:t>Participação na Solenidade de entrega de medalhas aos Policiais Militares que atuaram na Fiscalização Preventiva Integrada pelo excelente trabalho realizado em 2017, ocorrida no Batalhão de Choque da Polícia Militar;</w:t>
      </w:r>
    </w:p>
    <w:p>
      <w:pPr>
        <w:pStyle w:val="Normal"/>
        <w:spacing w:lineRule="auto" w:line="360" w:before="113" w:after="113"/>
        <w:jc w:val="both"/>
        <w:rPr/>
      </w:pPr>
      <w:r>
        <w:rPr>
          <w:rStyle w:val="Fontepargpadro1"/>
          <w:rFonts w:eastAsia="Batang" w:cs="Times New Roman"/>
          <w:i/>
          <w:iCs/>
          <w:sz w:val="22"/>
          <w:szCs w:val="22"/>
          <w:shd w:fill="FFFFFF" w:val="clear"/>
          <w:lang w:eastAsia="hi-IN"/>
        </w:rPr>
        <w:t xml:space="preserve">- Coordenação da Capacitação da Gestão Ambiental Municipal - Programa Nacional de Formação de Gestores Ambientais  “PNC”, realizada no Auditório da CODISE em Dezembro\2017. O PNC visa desenvolver uma abordagem sistêmica e um conjunto de instrumentos de intervenção na realidade local, tendo a gestão ambiental como foco. Com base em conteúdos elaborados e outros elementos pedagógicos disponíveis, pretende-se que estes agentes se sintam seguros e apoiados para desenvolver a gestão ambiental em âmbito local, considerando a criação e o fortalecimento de instâncias como o órgão ambiental municipal, o conselho e o fundo municipais de meio ambiente. </w:t>
      </w:r>
    </w:p>
    <w:p>
      <w:pPr>
        <w:pStyle w:val="Normal"/>
        <w:spacing w:lineRule="auto" w:line="360" w:before="113" w:after="113"/>
        <w:jc w:val="both"/>
        <w:rPr/>
      </w:pPr>
      <w:r>
        <w:rPr>
          <w:rStyle w:val="Fontepargpadro1"/>
          <w:rFonts w:eastAsia="Batang" w:cs="Times New Roman"/>
          <w:i/>
          <w:iCs/>
          <w:sz w:val="22"/>
          <w:szCs w:val="22"/>
          <w:shd w:fill="FFFFFF" w:val="clear"/>
          <w:lang w:eastAsia="hi-IN"/>
        </w:rPr>
        <w:t>- Participação da XXXIII Plenária da Ordinária do Comitê de Bacia Hidrográfica do Rio São Francisco, realizada na cidade de Paulo Afonso – Bahia realizada em Dezembro/2017;</w:t>
      </w:r>
    </w:p>
    <w:p>
      <w:pPr>
        <w:pStyle w:val="Normal"/>
        <w:spacing w:lineRule="auto" w:line="360" w:before="113" w:after="113"/>
        <w:jc w:val="both"/>
        <w:rPr/>
      </w:pPr>
      <w:r>
        <w:rPr>
          <w:rStyle w:val="Fontepargpadro1"/>
          <w:rFonts w:eastAsia="Batang" w:cs="Times New Roman"/>
          <w:i/>
          <w:iCs/>
          <w:sz w:val="22"/>
          <w:szCs w:val="22"/>
          <w:shd w:fill="FFFFFF" w:val="clear"/>
          <w:lang w:eastAsia="hi-IN"/>
        </w:rPr>
        <w:t>- Participação da XXX Reunião Ordinária da Bacia Hidrográfica do Rio Japaratuba, realizada no CETAF Aracaju em Dezembro/2017;</w:t>
      </w:r>
    </w:p>
    <w:p>
      <w:pPr>
        <w:pStyle w:val="Normal"/>
        <w:spacing w:lineRule="auto" w:line="360" w:before="113" w:after="113"/>
        <w:jc w:val="both"/>
        <w:rPr/>
      </w:pPr>
      <w:r>
        <w:rPr>
          <w:rStyle w:val="Fontepargpadro1"/>
          <w:rFonts w:eastAsia="Spranq eco sans" w:cs="Times New Roman"/>
          <w:i/>
          <w:iCs/>
          <w:sz w:val="22"/>
          <w:szCs w:val="22"/>
          <w:shd w:fill="FFFFFF" w:val="clear"/>
          <w:lang w:bidi="ar-SA"/>
        </w:rPr>
        <w:t>- Participação no Encontro Nacional do Comitê de Bacias – ENCOB, realizado no Hotel Prodigy Barra dos Coqueiros, em Novembro/2017, o qual teve como tema de palestras, oficinas e fóruns:</w:t>
      </w:r>
    </w:p>
    <w:p>
      <w:pPr>
        <w:pStyle w:val="Normal"/>
        <w:spacing w:before="113" w:after="113"/>
        <w:contextualSpacing/>
        <w:jc w:val="both"/>
        <w:rPr/>
      </w:pPr>
      <w:r>
        <w:rPr>
          <w:rStyle w:val="Fontepargpadro1"/>
          <w:rFonts w:eastAsia="Spranq eco sans" w:cs="Times New Roman"/>
          <w:i/>
          <w:iCs/>
          <w:sz w:val="22"/>
          <w:szCs w:val="22"/>
          <w:shd w:fill="FFFFFF" w:val="clear"/>
          <w:lang w:bidi="ar-SA"/>
        </w:rPr>
        <w:t xml:space="preserve">a) </w:t>
      </w:r>
      <w:r>
        <w:rPr>
          <w:rStyle w:val="Fontepargpadro1"/>
          <w:rFonts w:eastAsia="Spranq eco sans" w:cs="Times New Roman"/>
          <w:i/>
          <w:iCs/>
          <w:sz w:val="22"/>
          <w:szCs w:val="22"/>
          <w:lang w:bidi="ar-SA"/>
        </w:rPr>
        <w:t xml:space="preserve">Água e Gênero; </w:t>
      </w:r>
    </w:p>
    <w:p>
      <w:pPr>
        <w:pStyle w:val="Normal"/>
        <w:spacing w:before="113" w:after="113"/>
        <w:contextualSpacing/>
        <w:jc w:val="both"/>
        <w:rPr/>
      </w:pPr>
      <w:r>
        <w:rPr>
          <w:rStyle w:val="Fontepargpadro1"/>
          <w:rFonts w:eastAsia="Spranq eco sans" w:cs="Times New Roman"/>
          <w:i/>
          <w:iCs/>
          <w:sz w:val="22"/>
          <w:szCs w:val="22"/>
          <w:lang w:bidi="ar-SA"/>
        </w:rPr>
        <w:t xml:space="preserve">b) 20 anos da Lei das Águas – Avanços e desafios na Gestão e Regulação dos Recursos Hídricos; </w:t>
      </w:r>
    </w:p>
    <w:p>
      <w:pPr>
        <w:pStyle w:val="Normal"/>
        <w:spacing w:before="113" w:after="113"/>
        <w:contextualSpacing/>
        <w:jc w:val="both"/>
        <w:rPr/>
      </w:pPr>
      <w:r>
        <w:rPr>
          <w:rStyle w:val="Fontepargpadro1"/>
          <w:rFonts w:eastAsia="Spranq eco sans" w:cs="Times New Roman"/>
          <w:i/>
          <w:iCs/>
          <w:sz w:val="22"/>
          <w:szCs w:val="22"/>
          <w:lang w:bidi="ar-SA"/>
        </w:rPr>
        <w:t>c)</w:t>
      </w:r>
      <w:r>
        <w:rPr>
          <w:rStyle w:val="Fontepargpadro1"/>
          <w:rFonts w:eastAsia="Spranq eco sans" w:cs="Times New Roman"/>
          <w:i/>
          <w:iCs/>
          <w:sz w:val="22"/>
          <w:szCs w:val="22"/>
          <w:shd w:fill="FFFFFF" w:val="clear"/>
          <w:lang w:bidi="ar-SA"/>
        </w:rPr>
        <w:t xml:space="preserve"> Gestão eficiente da Água na irrigação e Pagamento por Serviços Ambientais;</w:t>
      </w:r>
    </w:p>
    <w:p>
      <w:pPr>
        <w:pStyle w:val="Normal"/>
        <w:spacing w:before="113" w:after="113"/>
        <w:contextualSpacing/>
        <w:jc w:val="both"/>
        <w:rPr/>
      </w:pPr>
      <w:r>
        <w:rPr/>
      </w:r>
    </w:p>
    <w:p>
      <w:pPr>
        <w:pStyle w:val="Normal"/>
        <w:spacing w:lineRule="auto" w:line="360" w:before="113" w:after="113"/>
        <w:jc w:val="both"/>
        <w:rPr/>
      </w:pPr>
      <w:r>
        <w:rPr>
          <w:rStyle w:val="Fontepargpadro1"/>
          <w:rFonts w:eastAsia="Arial" w:cs="Times New Roman"/>
          <w:i/>
          <w:iCs/>
          <w:sz w:val="22"/>
          <w:szCs w:val="22"/>
          <w:lang w:bidi="ar-SA"/>
        </w:rPr>
        <w:t xml:space="preserve">- Coordenação da Atividade de Educação Ambiental </w:t>
      </w:r>
      <w:r>
        <w:rPr>
          <w:rStyle w:val="Fontepargpadro1"/>
          <w:rFonts w:eastAsia="Spranq eco sans" w:cs="Times New Roman"/>
          <w:i/>
          <w:iCs/>
          <w:sz w:val="22"/>
          <w:szCs w:val="22"/>
          <w:lang w:bidi="ar-SA"/>
        </w:rPr>
        <w:t>“Dia de Campo” em Canindé do São Francisco em Setembro 2017. O “Dia de Campo” está inserido no Projeto “Nascentes do São Francisco – O MP Salvando Rios” e conta com a parceria da Universidade Federal de Sergipe – UFS, da Secretaria de Estado do Meio Ambiente e Recursos Hídricos – SEMARH, Empresa de Desenvolvimento Agropecuário de Sergipe – ENDAGRO, Companhia Hidrelétrica do São Francisco – CHESF, Companhia do Desenvolvimento do Vale do São Francisco – CODEVASF, Instituto Nacional de Colonização e Reforma Agrária de Sergipe – INCRA, do Sergipe Parque Tecnológico – SERGIPETEC, Agência Nacional das Águas – ANA e da Agência de Viagens MF Tur.</w:t>
      </w:r>
    </w:p>
    <w:p>
      <w:pPr>
        <w:pStyle w:val="Normal"/>
        <w:spacing w:lineRule="auto" w:line="360" w:before="113" w:after="113"/>
        <w:jc w:val="both"/>
        <w:rPr/>
      </w:pPr>
      <w:r>
        <w:rPr>
          <w:rStyle w:val="Fontepargpadro1"/>
          <w:rFonts w:eastAsia="Spranq eco sans" w:cs="Times New Roman"/>
          <w:i/>
          <w:iCs/>
          <w:sz w:val="22"/>
          <w:szCs w:val="22"/>
          <w:lang w:bidi="ar-SA"/>
        </w:rPr>
        <w:t xml:space="preserve">O “Dia de Campo” é uma das partes práticas do Projeto “MP Salvando Rios”. Agricultores, estudantes e toda comunidade do Assentamento Mandacaru I participaram de diversas atividades e práticas relacionadas às questões ambientais nos seguintes temas: Agrotóxicos, Proteção de Nascentes, Produção Orgânica na Caatinga, Cadastro Ambiental Rural, Destinação de Resíduos Sólidos e Líquidos. </w:t>
      </w:r>
    </w:p>
    <w:p>
      <w:pPr>
        <w:pStyle w:val="Normal"/>
        <w:spacing w:lineRule="auto" w:line="360" w:before="113" w:after="113"/>
        <w:jc w:val="both"/>
        <w:rPr/>
      </w:pPr>
      <w:r>
        <w:rPr>
          <w:rStyle w:val="Fontepargpadro1"/>
          <w:rFonts w:eastAsia="Spranq eco sans" w:cs="Times New Roman"/>
          <w:i/>
          <w:iCs/>
          <w:color w:val="000000"/>
          <w:sz w:val="22"/>
          <w:szCs w:val="22"/>
          <w:lang w:bidi="ar-SA"/>
        </w:rPr>
        <w:t xml:space="preserve">- Participação no </w:t>
      </w:r>
      <w:r>
        <w:rPr>
          <w:rStyle w:val="Fontepargpadro1"/>
          <w:rFonts w:eastAsia="Times New Roman" w:cs="Times New Roman"/>
          <w:i/>
          <w:iCs/>
          <w:color w:val="000000"/>
          <w:sz w:val="22"/>
          <w:szCs w:val="22"/>
          <w:lang w:bidi="ar-SA"/>
        </w:rPr>
        <w:t>8º Congresso Brasileiro de Gestão do Ministério Público, realizado em Brasília/DF, em Agosto 2017</w:t>
      </w:r>
      <w:r>
        <w:rPr>
          <w:rStyle w:val="Fontepargpadro1"/>
          <w:rFonts w:eastAsia="Times New Roman" w:cs="Times New Roman"/>
          <w:i/>
          <w:iCs/>
          <w:color w:val="FF0000"/>
          <w:sz w:val="22"/>
          <w:szCs w:val="22"/>
          <w:lang w:bidi="ar-SA"/>
        </w:rPr>
        <w:t xml:space="preserve"> </w:t>
      </w:r>
      <w:r>
        <w:rPr>
          <w:rStyle w:val="Fontepargpadro1"/>
          <w:rFonts w:eastAsia="Times New Roman" w:cs="Times New Roman"/>
          <w:i/>
          <w:iCs/>
          <w:sz w:val="22"/>
          <w:szCs w:val="22"/>
          <w:lang w:bidi="ar-SA"/>
        </w:rPr>
        <w:t xml:space="preserve">com o tema </w:t>
      </w:r>
      <w:r>
        <w:rPr>
          <w:rStyle w:val="Fontepargpadro1"/>
          <w:rFonts w:eastAsia="Spranq eco sans" w:cs="Times New Roman"/>
          <w:i/>
          <w:iCs/>
          <w:sz w:val="22"/>
          <w:szCs w:val="22"/>
          <w:lang w:bidi="ar-SA"/>
        </w:rPr>
        <w:t>“Ministério Público e sustentabilidade: o direito das presentes e futuras gerações.”</w:t>
      </w:r>
      <w:r>
        <w:rPr>
          <w:rStyle w:val="Fontepargpadro1"/>
          <w:rFonts w:eastAsia="Spranq eco sans" w:cs="Times New Roman"/>
          <w:i/>
          <w:iCs/>
          <w:color w:val="FF0000"/>
          <w:sz w:val="22"/>
          <w:szCs w:val="22"/>
          <w:lang w:bidi="ar-SA"/>
        </w:rPr>
        <w:t xml:space="preserve"> </w:t>
      </w:r>
    </w:p>
    <w:p>
      <w:pPr>
        <w:pStyle w:val="Normal"/>
        <w:spacing w:lineRule="auto" w:line="360" w:before="113" w:after="113"/>
        <w:jc w:val="both"/>
        <w:rPr/>
      </w:pPr>
      <w:r>
        <w:rPr>
          <w:rStyle w:val="Fontepargpadro1"/>
          <w:rFonts w:eastAsia="Spranq eco sans" w:cs="Times New Roman"/>
          <w:i/>
          <w:iCs/>
          <w:sz w:val="22"/>
          <w:szCs w:val="22"/>
          <w:lang w:bidi="ar-SA"/>
        </w:rPr>
        <w:t>- Participação da Capacitação “Enquadramento dos Corpos d'Água da Bacia Hidrográfica do Rio Sergipe”, realizada no dia 30/08/2017, no auditório no CODISE;</w:t>
      </w:r>
    </w:p>
    <w:p>
      <w:pPr>
        <w:pStyle w:val="Normal"/>
        <w:spacing w:lineRule="auto" w:line="360" w:before="113" w:after="113"/>
        <w:jc w:val="both"/>
        <w:rPr/>
      </w:pPr>
      <w:r>
        <w:rPr>
          <w:rStyle w:val="Fontepargpadro1"/>
          <w:rFonts w:eastAsia="Spranq eco sans" w:cs="Times New Roman"/>
          <w:i/>
          <w:iCs/>
          <w:sz w:val="22"/>
          <w:szCs w:val="22"/>
          <w:lang w:bidi="ar-SA"/>
        </w:rPr>
        <w:t>- Participação no Seminário Cidades sem Lixões, realizado no Auditório do Ministério Público de Sergipe, no dia 05/06/2017;</w:t>
      </w:r>
    </w:p>
    <w:p>
      <w:pPr>
        <w:pStyle w:val="Normal"/>
        <w:widowControl/>
        <w:spacing w:lineRule="auto" w:line="360" w:before="113" w:after="113"/>
        <w:jc w:val="both"/>
        <w:rPr/>
      </w:pPr>
      <w:r>
        <w:rPr>
          <w:rStyle w:val="Fontepargpadro1"/>
          <w:rFonts w:eastAsia="Spranq eco sans" w:cs="Times New Roman"/>
          <w:i/>
          <w:iCs/>
          <w:sz w:val="22"/>
          <w:szCs w:val="22"/>
          <w:lang w:bidi="ar-SA"/>
        </w:rPr>
        <w:t xml:space="preserve">- Participação na Ação Global 2017, que aconteceu na Escola do SESI Roberto Simonsen - Rua Pará, S/N - 18 do Forte, no dia 24/05/2017; </w:t>
      </w:r>
    </w:p>
    <w:p>
      <w:pPr>
        <w:pStyle w:val="Normal"/>
        <w:widowControl/>
        <w:spacing w:lineRule="auto" w:line="360" w:before="113" w:after="113"/>
        <w:jc w:val="both"/>
        <w:rPr/>
      </w:pPr>
      <w:r>
        <w:rPr>
          <w:rStyle w:val="Fontepargpadro1"/>
          <w:rFonts w:eastAsia="Spranq eco sans" w:cs="Times New Roman"/>
          <w:i/>
          <w:iCs/>
          <w:sz w:val="22"/>
          <w:szCs w:val="22"/>
          <w:lang w:bidi="ar-SA"/>
        </w:rPr>
        <w:t>- Participação do Dia Nacional da Mata Atlântica, realizada no dia 25/05/2017, no município de SirIri, com a participação da Prefeitura Municipal de Siriri e Secretaria Municipal de Recursos Hídricos do Estado.</w:t>
      </w:r>
    </w:p>
    <w:p>
      <w:pPr>
        <w:pStyle w:val="Normal"/>
        <w:widowControl/>
        <w:spacing w:lineRule="auto" w:line="360" w:before="113" w:after="113"/>
        <w:jc w:val="both"/>
        <w:rPr/>
      </w:pPr>
      <w:r>
        <w:rPr>
          <w:rStyle w:val="Fontepargpadro1"/>
          <w:rFonts w:eastAsia="Spranq eco sans" w:cs="Times New Roman"/>
          <w:i/>
          <w:iCs/>
          <w:sz w:val="22"/>
          <w:szCs w:val="22"/>
          <w:lang w:bidi="ar-SA"/>
        </w:rPr>
        <w:t>- Participação do 1º Workshop da Caatinga, em abril/2017, com os seguintes temas: A importância das Unidades de Recuperação de Áreas Degradadas em Sergipe – URADS; Implementação do Projeto Fundo Clima da Região do Alto Sertão Sergipano e a Importância da Biodiversidade da Caatinga;</w:t>
      </w:r>
    </w:p>
    <w:p>
      <w:pPr>
        <w:pStyle w:val="Normal"/>
        <w:widowControl/>
        <w:spacing w:lineRule="auto" w:line="360" w:before="113" w:after="113"/>
        <w:jc w:val="both"/>
        <w:rPr/>
      </w:pPr>
      <w:r>
        <w:rPr>
          <w:rStyle w:val="Fontepargpadro1"/>
          <w:rFonts w:eastAsia="Spranq eco sans" w:cs="Times New Roman"/>
          <w:i/>
          <w:iCs/>
          <w:sz w:val="22"/>
          <w:szCs w:val="22"/>
          <w:lang w:bidi="ar-SA"/>
        </w:rPr>
        <w:t>- Realização da “Caravanas de Saneamento” no Baixo São Francisco Sergipano em Março/2017;</w:t>
      </w:r>
    </w:p>
    <w:p>
      <w:pPr>
        <w:pStyle w:val="Normal"/>
        <w:widowControl/>
        <w:spacing w:lineRule="auto" w:line="360" w:before="113" w:after="113"/>
        <w:jc w:val="both"/>
        <w:rPr/>
      </w:pPr>
      <w:r>
        <w:rPr>
          <w:rStyle w:val="Fontepargpadro1"/>
          <w:rFonts w:eastAsia="Spranq eco sans" w:cs="Times New Roman"/>
          <w:i/>
          <w:iCs/>
          <w:sz w:val="22"/>
          <w:szCs w:val="22"/>
          <w:lang w:bidi="ar-SA"/>
        </w:rPr>
        <w:t>- Participação, em Março/2017, no X Encontro de Recurso Hídricos em Sergipe com os seguintes temas:</w:t>
      </w:r>
    </w:p>
    <w:p>
      <w:pPr>
        <w:pStyle w:val="Normal"/>
        <w:widowControl/>
        <w:spacing w:before="113" w:after="113"/>
        <w:jc w:val="both"/>
        <w:rPr/>
      </w:pPr>
      <w:r>
        <w:rPr>
          <w:rStyle w:val="Fontepargpadro1"/>
          <w:rFonts w:eastAsia="Spranq eco sans" w:cs="Times New Roman"/>
          <w:i/>
          <w:iCs/>
          <w:sz w:val="22"/>
          <w:szCs w:val="22"/>
          <w:lang w:bidi="ar-SA"/>
        </w:rPr>
        <w:t xml:space="preserve">a) Secas no Brasil: Política e Gestão Proativa, Crise Hídrica e a Gestão da Operação dos Reservatórios do Rio São Francisco; </w:t>
      </w:r>
    </w:p>
    <w:p>
      <w:pPr>
        <w:pStyle w:val="Normal"/>
        <w:widowControl/>
        <w:spacing w:before="113" w:after="113"/>
        <w:jc w:val="both"/>
        <w:rPr/>
      </w:pPr>
      <w:r>
        <w:rPr>
          <w:rStyle w:val="Fontepargpadro1"/>
          <w:rFonts w:eastAsia="Spranq eco sans" w:cs="Times New Roman"/>
          <w:i/>
          <w:iCs/>
          <w:sz w:val="22"/>
          <w:szCs w:val="22"/>
          <w:lang w:bidi="ar-SA"/>
        </w:rPr>
        <w:t>b) Clima e Sociedade: O Homem, a Terra e a Luta, Águas Reservadas de Sergipe: Importância, Qualidade e Gestão, Experiências de Reuso da Água no Brasil;</w:t>
      </w:r>
    </w:p>
    <w:p>
      <w:pPr>
        <w:pStyle w:val="Normal"/>
        <w:widowControl/>
        <w:spacing w:before="113" w:after="113"/>
        <w:jc w:val="both"/>
        <w:rPr/>
      </w:pPr>
      <w:r>
        <w:rPr>
          <w:rStyle w:val="Fontepargpadro1"/>
          <w:rFonts w:eastAsia="Spranq eco sans" w:cs="Times New Roman"/>
          <w:i/>
          <w:iCs/>
          <w:sz w:val="22"/>
          <w:szCs w:val="22"/>
          <w:lang w:bidi="ar-SA"/>
        </w:rPr>
        <w:t>c) Necessidade do Reuso e da Reciclagem da Água;</w:t>
      </w:r>
    </w:p>
    <w:p>
      <w:pPr>
        <w:pStyle w:val="Normal"/>
        <w:widowControl/>
        <w:spacing w:lineRule="auto" w:line="360" w:before="113" w:after="113"/>
        <w:jc w:val="both"/>
        <w:rPr/>
      </w:pPr>
      <w:r>
        <w:rPr>
          <w:rStyle w:val="Fontepargpadro1"/>
          <w:rFonts w:eastAsia="Spranq eco sans" w:cs="Times New Roman"/>
          <w:i/>
          <w:iCs/>
          <w:sz w:val="22"/>
          <w:szCs w:val="22"/>
          <w:lang w:bidi="ar-SA"/>
        </w:rPr>
        <w:t>- Participação, em Fevereiro/2017, no Seminário de Avaliação da Seca em Sergipe, realizado na CODISE, que abordou o tema “Impacto da Seca nos Recursos Hídricos do nosso Estado”;</w:t>
      </w:r>
    </w:p>
    <w:p>
      <w:pPr>
        <w:pStyle w:val="Normal"/>
        <w:widowControl/>
        <w:spacing w:lineRule="auto" w:line="360" w:before="113" w:after="113"/>
        <w:jc w:val="both"/>
        <w:rPr/>
      </w:pPr>
      <w:r>
        <w:rPr>
          <w:rStyle w:val="Fontepargpadro1"/>
          <w:rFonts w:eastAsia="Spranq eco sans" w:cs="Times New Roman"/>
          <w:i/>
          <w:iCs/>
          <w:sz w:val="22"/>
          <w:szCs w:val="22"/>
          <w:lang w:bidi="ar-SA"/>
        </w:rPr>
        <w:t>- Participação, em Fevereiro/2017, do Fórum Permanente de Resultados para a Sociedade;</w:t>
      </w:r>
    </w:p>
    <w:p>
      <w:pPr>
        <w:pStyle w:val="Corpodotexto"/>
        <w:widowControl/>
        <w:spacing w:lineRule="auto" w:line="360"/>
        <w:jc w:val="both"/>
        <w:rPr/>
      </w:pPr>
      <w:r>
        <w:rPr>
          <w:rStyle w:val="Fontepargpadro1"/>
          <w:rFonts w:cs="Times New Roman"/>
          <w:i/>
          <w:iCs/>
          <w:sz w:val="22"/>
          <w:szCs w:val="22"/>
        </w:rPr>
        <w:t>- Participação, em Janeiro/2017, de debate de avaliação da operação dos reservatórios de Três Marias e Sobradinho com a ANA,  a CODEVASF, o ONS, a CHESF, a ANEEL, o MME, o CEMADEN, a Marinha do Brasil, a CEMIG, o IBAMA e a SEMARH/SE;</w:t>
      </w:r>
    </w:p>
    <w:p>
      <w:pPr>
        <w:pStyle w:val="Normal"/>
        <w:widowControl/>
        <w:spacing w:lineRule="auto" w:line="360" w:before="0" w:after="120"/>
        <w:jc w:val="both"/>
        <w:rPr/>
      </w:pPr>
      <w:r>
        <w:rPr>
          <w:rStyle w:val="Fontepargpadro1"/>
          <w:rFonts w:cs="Times New Roman"/>
          <w:i/>
          <w:iCs/>
          <w:sz w:val="22"/>
          <w:szCs w:val="22"/>
        </w:rPr>
        <w:t>- Participação na 5ª Reunião Conjunta Conselho Estadual de Recursos Hídricos – CONERH/SE Fórum Sergipano de Comitês de Bacias Hidrográfica dos Colegiados: Comitês de Bacias Hidrográficas dos Rios: Sergipe, Piauí e Japaratuba, realizado em Dezembro/2016;</w:t>
      </w:r>
    </w:p>
    <w:p>
      <w:pPr>
        <w:pStyle w:val="Normal"/>
        <w:widowControl/>
        <w:spacing w:lineRule="auto" w:line="360" w:before="0" w:after="120"/>
        <w:jc w:val="both"/>
        <w:rPr/>
      </w:pPr>
      <w:r>
        <w:rPr>
          <w:rStyle w:val="Fontepargpadro1"/>
          <w:rFonts w:cs="Times New Roman"/>
          <w:i/>
          <w:iCs/>
          <w:color w:val="000000"/>
          <w:sz w:val="22"/>
          <w:szCs w:val="22"/>
          <w:lang w:eastAsia="hi-IN"/>
        </w:rPr>
        <w:t xml:space="preserve">- </w:t>
      </w:r>
      <w:r>
        <w:rPr>
          <w:rStyle w:val="Fontepargpadro1"/>
          <w:rFonts w:cs="Times New Roman"/>
          <w:i/>
          <w:iCs/>
          <w:sz w:val="22"/>
          <w:szCs w:val="22"/>
          <w:lang w:eastAsia="hi-IN"/>
        </w:rPr>
        <w:t>Participação no "Projeto MP Itinerante" no Município de Nossa Senhora de Lourdes, em Novembro/2016</w:t>
      </w:r>
      <w:r>
        <w:rPr>
          <w:rStyle w:val="Fontepargpadro1"/>
          <w:rFonts w:cs="Times New Roman"/>
          <w:i/>
          <w:iCs/>
          <w:color w:val="000000"/>
          <w:sz w:val="22"/>
          <w:szCs w:val="22"/>
          <w:lang w:eastAsia="hi-IN"/>
        </w:rPr>
        <w:t>;</w:t>
      </w:r>
    </w:p>
    <w:p>
      <w:pPr>
        <w:pStyle w:val="Normal"/>
        <w:widowControl/>
        <w:spacing w:lineRule="auto" w:line="360" w:before="0" w:after="120"/>
        <w:jc w:val="both"/>
        <w:rPr/>
      </w:pPr>
      <w:r>
        <w:rPr>
          <w:rStyle w:val="Fontepargpadro1"/>
          <w:rFonts w:cs="Times New Roman"/>
          <w:i/>
          <w:iCs/>
          <w:color w:val="000000"/>
          <w:sz w:val="22"/>
          <w:szCs w:val="22"/>
          <w:lang w:eastAsia="hi-IN"/>
        </w:rPr>
        <w:t>- Participação no XIII Simpósio de Recursos Hídricos do Nordeste realizado em Aracaju/SE, em Novembro/2016;</w:t>
      </w:r>
    </w:p>
    <w:p>
      <w:pPr>
        <w:pStyle w:val="Normal"/>
        <w:widowControl/>
        <w:spacing w:lineRule="auto" w:line="360" w:before="0" w:after="120"/>
        <w:jc w:val="both"/>
        <w:rPr/>
      </w:pPr>
      <w:r>
        <w:rPr>
          <w:rStyle w:val="Fontepargpadro1"/>
          <w:rFonts w:cs="Times New Roman"/>
          <w:i/>
          <w:iCs/>
          <w:color w:val="000000"/>
          <w:sz w:val="22"/>
          <w:szCs w:val="22"/>
          <w:lang w:eastAsia="hi-IN"/>
        </w:rPr>
        <w:t>- Participação de Evento ocorrido na Assembleia Legislativa de Sergipe (ALESE), que teve como tema central a palestra “Os problemas ambientais existentes na Bacia do Rio Japaratuba”, proferida na pelo professor Crystiano Ayres Machado, pesquisador do Grupo Acqua da Universidade Federal de Sergipe (UFS), como respectivas discussões ao final, realizado em Outubro/2016;</w:t>
      </w:r>
    </w:p>
    <w:p>
      <w:pPr>
        <w:pStyle w:val="Normal"/>
        <w:widowControl/>
        <w:spacing w:lineRule="auto" w:line="360" w:before="0" w:after="120"/>
        <w:jc w:val="both"/>
        <w:rPr/>
      </w:pPr>
      <w:r>
        <w:rPr>
          <w:rStyle w:val="Fontepargpadro1"/>
          <w:rFonts w:eastAsia="Batang" w:cs="Times New Roman"/>
          <w:i/>
          <w:iCs/>
          <w:sz w:val="22"/>
          <w:szCs w:val="22"/>
          <w:lang w:eastAsia="hi-IN"/>
        </w:rPr>
        <w:t>- Acompanhamento da XXIX Plenária Ordinária e da XXVII Plenária Extraordinária do CBHSF, realizado em Maio/2016, em Aracaju/SE, que reuniu diversos órgãos e entidades de proteção ambiental, e no qual foram discutidos o sistema de operação dos reservatórios da bacia e seus impactos ambientais, a prática sistemática de redução de vazões,  a atualização do plano diretor de Recursos Hídricos da Bacia do São Francisco, dentre outros importantes temas;</w:t>
      </w:r>
    </w:p>
    <w:p>
      <w:pPr>
        <w:pStyle w:val="Normal"/>
        <w:widowControl/>
        <w:spacing w:lineRule="auto" w:line="360" w:before="0" w:after="120"/>
        <w:jc w:val="both"/>
        <w:rPr/>
      </w:pPr>
      <w:r>
        <w:rPr>
          <w:rFonts w:cs="Times New Roman"/>
          <w:i/>
          <w:iCs/>
          <w:color w:val="000000"/>
          <w:sz w:val="22"/>
          <w:szCs w:val="22"/>
          <w:lang w:eastAsia="hi-IN"/>
        </w:rPr>
        <w:t>- Participação da Exposição do Museu Ambiental Casa do Velho Chico, realizada no espaço de vivência da Universidade Federal de Sergipe, a qual marcou o início da semana de reflexão acerca do Velho Chico - 07/03/2016 e 11/03/2016;</w:t>
      </w:r>
    </w:p>
    <w:p>
      <w:pPr>
        <w:pStyle w:val="Normal"/>
        <w:jc w:val="both"/>
        <w:rPr/>
      </w:pPr>
      <w:r>
        <w:rPr/>
      </w:r>
    </w:p>
    <w:p>
      <w:pPr>
        <w:pStyle w:val="Normal"/>
        <w:numPr>
          <w:ilvl w:val="0"/>
          <w:numId w:val="0"/>
        </w:numPr>
        <w:ind w:left="720" w:hanging="0"/>
        <w:jc w:val="both"/>
        <w:rPr/>
      </w:pPr>
      <w:r>
        <w:rPr>
          <w:rFonts w:cs="Times New Roman"/>
          <w:b/>
          <w:bCs/>
          <w:sz w:val="22"/>
          <w:szCs w:val="22"/>
        </w:rPr>
        <w:t>4) PLANEJAMENTO ESTRATÉGICO</w:t>
      </w:r>
    </w:p>
    <w:p>
      <w:pPr>
        <w:pStyle w:val="Normal"/>
        <w:jc w:val="both"/>
        <w:rPr/>
      </w:pPr>
      <w:r>
        <w:rPr/>
      </w:r>
    </w:p>
    <w:p>
      <w:pPr>
        <w:pStyle w:val="Normal"/>
        <w:jc w:val="both"/>
        <w:rPr/>
      </w:pPr>
      <w:r>
        <w:rPr/>
      </w:r>
    </w:p>
    <w:tbl>
      <w:tblPr>
        <w:tblW w:w="9608" w:type="dxa"/>
        <w:jc w:val="left"/>
        <w:tblInd w:w="146" w:type="dxa"/>
        <w:tblBorders>
          <w:top w:val="single" w:sz="4" w:space="0" w:color="000001"/>
          <w:left w:val="single" w:sz="4" w:space="0" w:color="000001"/>
          <w:bottom w:val="single" w:sz="4" w:space="0" w:color="000001"/>
          <w:insideH w:val="single" w:sz="4" w:space="0" w:color="000001"/>
        </w:tblBorders>
        <w:tblCellMar>
          <w:top w:w="0" w:type="dxa"/>
          <w:left w:w="68" w:type="dxa"/>
          <w:bottom w:w="0" w:type="dxa"/>
          <w:right w:w="108" w:type="dxa"/>
        </w:tblCellMar>
      </w:tblPr>
      <w:tblGrid>
        <w:gridCol w:w="5689"/>
        <w:gridCol w:w="3918"/>
      </w:tblGrid>
      <w:tr>
        <w:trPr/>
        <w:tc>
          <w:tcPr>
            <w:tcW w:w="5689" w:type="dxa"/>
            <w:vMerge w:val="restart"/>
            <w:tcBorders>
              <w:top w:val="single" w:sz="4" w:space="0" w:color="000001"/>
              <w:left w:val="single" w:sz="4" w:space="0" w:color="000001"/>
              <w:bottom w:val="single" w:sz="4" w:space="0" w:color="000001"/>
              <w:insideH w:val="single" w:sz="4" w:space="0" w:color="000001"/>
            </w:tcBorders>
            <w:shd w:fill="D9D9D9" w:val="clear"/>
            <w:tcMar>
              <w:left w:w="68" w:type="dxa"/>
            </w:tcMar>
            <w:vAlign w:val="center"/>
          </w:tcPr>
          <w:p>
            <w:pPr>
              <w:pStyle w:val="Rule"/>
              <w:spacing w:before="0" w:after="0"/>
              <w:ind w:left="55" w:right="0" w:hanging="13"/>
              <w:rPr/>
            </w:pPr>
            <w:r>
              <w:rPr>
                <w:rFonts w:cs="Times New Roman" w:ascii="Times New Roman" w:hAnsi="Times New Roman"/>
                <w:b/>
                <w:sz w:val="22"/>
                <w:szCs w:val="22"/>
              </w:rPr>
              <w:t>4.1) Desenvolve ou apoia algum projeto ou programa de interesse social para a Comunidade?</w:t>
            </w:r>
          </w:p>
        </w:tc>
        <w:tc>
          <w:tcPr>
            <w:tcW w:w="39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CCCCCC" w:val="clear"/>
            <w:tcMar>
              <w:left w:w="68" w:type="dxa"/>
            </w:tcMar>
          </w:tcPr>
          <w:p>
            <w:pPr>
              <w:pStyle w:val="Rule"/>
              <w:spacing w:before="0" w:after="0"/>
              <w:jc w:val="center"/>
              <w:rPr/>
            </w:pPr>
            <w:r>
              <w:rPr>
                <w:rFonts w:cs="Times New Roman" w:ascii="Times New Roman" w:hAnsi="Times New Roman"/>
                <w:sz w:val="22"/>
                <w:szCs w:val="22"/>
              </w:rPr>
              <w:t>( X ) Sim</w:t>
            </w:r>
          </w:p>
        </w:tc>
      </w:tr>
      <w:tr>
        <w:trPr/>
        <w:tc>
          <w:tcPr>
            <w:tcW w:w="5689" w:type="dxa"/>
            <w:vMerge w:val="continue"/>
            <w:tcBorders>
              <w:top w:val="single" w:sz="4" w:space="0" w:color="000001"/>
              <w:left w:val="single" w:sz="4" w:space="0" w:color="000001"/>
              <w:bottom w:val="single" w:sz="4" w:space="0" w:color="000001"/>
              <w:insideH w:val="single" w:sz="4" w:space="0" w:color="000001"/>
            </w:tcBorders>
            <w:shd w:fill="D9D9D9" w:val="clear"/>
            <w:tcMar>
              <w:left w:w="68" w:type="dxa"/>
            </w:tcMar>
            <w:vAlign w:val="center"/>
          </w:tcPr>
          <w:p>
            <w:pPr>
              <w:pStyle w:val="Rule"/>
              <w:spacing w:before="0" w:after="0"/>
              <w:rPr/>
            </w:pPr>
            <w:r>
              <w:rPr/>
            </w:r>
          </w:p>
        </w:tc>
        <w:tc>
          <w:tcPr>
            <w:tcW w:w="39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CCCCCC" w:val="clear"/>
            <w:tcMar>
              <w:left w:w="68" w:type="dxa"/>
            </w:tcMar>
          </w:tcPr>
          <w:p>
            <w:pPr>
              <w:pStyle w:val="Rule"/>
              <w:spacing w:before="0" w:after="0"/>
              <w:jc w:val="center"/>
              <w:rPr/>
            </w:pPr>
            <w:r>
              <w:rPr>
                <w:rFonts w:cs="Times New Roman" w:ascii="Times New Roman" w:hAnsi="Times New Roman"/>
                <w:sz w:val="22"/>
                <w:szCs w:val="22"/>
              </w:rPr>
              <w:t>(    ) Não</w:t>
            </w:r>
          </w:p>
        </w:tc>
      </w:tr>
      <w:tr>
        <w:trPr/>
        <w:tc>
          <w:tcPr>
            <w:tcW w:w="960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D9D9D9" w:val="clear"/>
            <w:tcMar>
              <w:left w:w="68" w:type="dxa"/>
            </w:tcMar>
          </w:tcPr>
          <w:p>
            <w:pPr>
              <w:pStyle w:val="Normal"/>
              <w:ind w:left="55" w:right="17" w:hanging="13"/>
              <w:rPr/>
            </w:pPr>
            <w:r>
              <w:rPr>
                <w:rFonts w:cs="Times New Roman"/>
                <w:b/>
                <w:sz w:val="22"/>
                <w:szCs w:val="22"/>
              </w:rPr>
              <w:t>4.2) Se desenvolver algum projeto ou programa de interesse social, citar qual(quais):</w:t>
            </w:r>
          </w:p>
        </w:tc>
      </w:tr>
      <w:tr>
        <w:trPr/>
        <w:tc>
          <w:tcPr>
            <w:tcW w:w="960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ListParagraph"/>
              <w:tabs>
                <w:tab w:val="left" w:pos="2271" w:leader="none"/>
              </w:tabs>
              <w:spacing w:lineRule="auto" w:line="276"/>
              <w:ind w:left="72" w:right="0" w:hanging="0"/>
              <w:jc w:val="both"/>
              <w:rPr/>
            </w:pPr>
            <w:r>
              <w:rPr>
                <w:rFonts w:cs="Times New Roman"/>
                <w:color w:val="000000"/>
                <w:sz w:val="22"/>
                <w:szCs w:val="22"/>
                <w:lang w:val="pt-PT"/>
              </w:rPr>
              <w:t xml:space="preserve">- Projeto </w:t>
            </w:r>
            <w:r>
              <w:rPr>
                <w:rFonts w:cs="Times New Roman"/>
                <w:sz w:val="22"/>
                <w:szCs w:val="22"/>
                <w:lang w:val="pt-PT"/>
              </w:rPr>
              <w:t>“Nascentes do São Francisco: o MP Salvando Rios”.</w:t>
            </w:r>
          </w:p>
          <w:p>
            <w:pPr>
              <w:pStyle w:val="ListParagraph"/>
              <w:tabs>
                <w:tab w:val="left" w:pos="2271" w:leader="none"/>
              </w:tabs>
              <w:spacing w:lineRule="auto" w:line="276"/>
              <w:ind w:left="72" w:right="0" w:hanging="0"/>
              <w:jc w:val="both"/>
              <w:rPr/>
            </w:pPr>
            <w:r>
              <w:rPr>
                <w:rFonts w:cs="Times New Roman"/>
                <w:sz w:val="22"/>
                <w:szCs w:val="22"/>
                <w:lang w:val="pt-PT"/>
              </w:rPr>
              <w:t>- Projeto “REDMMA – Rede de Meio Ambiente Ativa”.</w:t>
            </w:r>
          </w:p>
          <w:p>
            <w:pPr>
              <w:pStyle w:val="ListParagraph"/>
              <w:tabs>
                <w:tab w:val="left" w:pos="2271" w:leader="none"/>
              </w:tabs>
              <w:spacing w:lineRule="auto" w:line="276"/>
              <w:ind w:left="72" w:right="0" w:hanging="0"/>
              <w:jc w:val="both"/>
              <w:rPr/>
            </w:pPr>
            <w:r>
              <w:rPr>
                <w:rFonts w:cs="Times New Roman"/>
                <w:sz w:val="22"/>
                <w:szCs w:val="22"/>
                <w:lang w:val="pt-PT"/>
              </w:rPr>
              <w:t>- Fiscalização Preventiva Integrada – FPI/SE</w:t>
            </w:r>
          </w:p>
          <w:p>
            <w:pPr>
              <w:pStyle w:val="ListParagraph"/>
              <w:tabs>
                <w:tab w:val="left" w:pos="2127" w:leader="none"/>
              </w:tabs>
              <w:spacing w:lineRule="auto" w:line="276"/>
              <w:ind w:left="0" w:right="0" w:hanging="0"/>
              <w:jc w:val="both"/>
              <w:rPr/>
            </w:pPr>
            <w:r>
              <w:rPr/>
            </w:r>
          </w:p>
        </w:tc>
      </w:tr>
      <w:tr>
        <w:trPr/>
        <w:tc>
          <w:tcPr>
            <w:tcW w:w="960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D9D9D9" w:val="clear"/>
            <w:tcMar>
              <w:left w:w="68" w:type="dxa"/>
            </w:tcMar>
          </w:tcPr>
          <w:p>
            <w:pPr>
              <w:pStyle w:val="Normal"/>
              <w:ind w:left="0" w:right="5" w:hanging="0"/>
              <w:rPr/>
            </w:pPr>
            <w:r>
              <w:rPr>
                <w:rFonts w:cs="Times New Roman"/>
                <w:b/>
                <w:sz w:val="22"/>
                <w:szCs w:val="22"/>
                <w:lang w:val="pt-PT"/>
              </w:rPr>
              <w:t>4.3) Observações gerais/Justificativa</w:t>
            </w:r>
          </w:p>
        </w:tc>
      </w:tr>
      <w:tr>
        <w:trPr/>
        <w:tc>
          <w:tcPr>
            <w:tcW w:w="9607"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68" w:type="dxa"/>
            </w:tcMar>
          </w:tcPr>
          <w:p>
            <w:pPr>
              <w:pStyle w:val="StudentInformation"/>
              <w:jc w:val="both"/>
              <w:rPr/>
            </w:pPr>
            <w:r>
              <w:rPr/>
            </w:r>
          </w:p>
          <w:p>
            <w:pPr>
              <w:pStyle w:val="ListParagraph"/>
              <w:tabs>
                <w:tab w:val="left" w:pos="2199" w:leader="none"/>
              </w:tabs>
              <w:spacing w:lineRule="auto" w:line="276"/>
              <w:ind w:left="0" w:right="0" w:hanging="0"/>
              <w:jc w:val="both"/>
              <w:rPr/>
            </w:pPr>
            <w:r>
              <w:rPr>
                <w:rFonts w:eastAsia="Batang" w:cs="Times New Roman"/>
                <w:b/>
                <w:bCs/>
                <w:color w:val="000000"/>
                <w:sz w:val="22"/>
                <w:szCs w:val="22"/>
                <w:shd w:fill="C0C0C0" w:val="clear"/>
                <w:lang w:val="pt-PT" w:eastAsia="hi-IN"/>
              </w:rPr>
              <w:t>Projeto “</w:t>
            </w:r>
            <w:r>
              <w:rPr>
                <w:rFonts w:eastAsia="Batang" w:cs="Times New Roman"/>
                <w:b/>
                <w:bCs/>
                <w:sz w:val="22"/>
                <w:szCs w:val="22"/>
                <w:shd w:fill="C0C0C0" w:val="clear"/>
                <w:lang w:val="pt-PT" w:eastAsia="hi-IN"/>
              </w:rPr>
              <w:t>Nascentes do São Francisco: o MP Salvando Rios</w:t>
            </w:r>
            <w:r>
              <w:rPr>
                <w:rFonts w:eastAsia="Batang" w:cs="Times New Roman"/>
                <w:b/>
                <w:bCs/>
                <w:sz w:val="22"/>
                <w:szCs w:val="22"/>
                <w:lang w:val="pt-PT" w:eastAsia="hi-IN"/>
              </w:rPr>
              <w:t>”</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 xml:space="preserve">O Projeto tem por objetivo a melhoria da quantidade e qualidade da ÁGUA através da transformação do agricultor em agente ativo na restauração e conservação do solo, das áreas de preservação de permanente e das reservas legais, de forma que este seja estimulado a atuar na preservação das nascentes e das margens de rios e possa perceber um valor pelo serviço prestado (recuperação e/ou preservação), de forma que ele mesmo se torne um “fiscal” dessas áreas, já que tal incentivo financeiro só lhe será pago em caso de comprovado cumprimento das metas estabelecidas. </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Para tanto, busca-se a atuação conjunta do Poder Público, de modo a fomentar os trabalhos de preservação e reflorestamento das áreas degradadas, seja com o Município cumprindo o papel de pagador pelos serviços ambientais efetivamente prestados, seja por meio dos engenheiros florestais e/ou técnicos agrônomos e ambientais que irão capacitar os agricultores a explorar adequadamente o ambiente, de modo que a preservação se torne uma fonte de renda que ultrapasse qualquer benefício raso que poderia ser obtido com a devastação.</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O projeto tem por piloto o trabalho desenvolvido na bacia hidrográfica do rio Curituba no município sergipano de Canindé do São Francisco, em que houve a adesão de 43  agricultores, cuja área já foi objeto de intervenções para inserção de espécies nativas, bem como foi realizada capacitação dos envolvidos com o intuito de conscientizá-los sobre a importância do reflorestamento e preservação e fornecer a estes conhecimentos e suporte técnico para melhor utilização dos recursos naturais na vida doméstica e como obtenção de renda.</w:t>
            </w:r>
          </w:p>
          <w:p>
            <w:pPr>
              <w:pStyle w:val="StudentInformation"/>
              <w:jc w:val="both"/>
              <w:rPr/>
            </w:pPr>
            <w:r>
              <w:rPr/>
            </w:r>
          </w:p>
          <w:p>
            <w:pPr>
              <w:pStyle w:val="StudentInformation"/>
              <w:jc w:val="both"/>
              <w:rPr/>
            </w:pPr>
            <w:r>
              <w:rPr>
                <w:rFonts w:eastAsia="Batang" w:cs="Times New Roman" w:ascii="Times New Roman" w:hAnsi="Times New Roman"/>
                <w:sz w:val="22"/>
                <w:szCs w:val="22"/>
                <w:lang w:eastAsia="hi-IN" w:bidi="hi-IN"/>
              </w:rPr>
              <w:t xml:space="preserve">O projeto foi vencedor em </w:t>
            </w:r>
            <w:r>
              <w:rPr>
                <w:rFonts w:eastAsia="Batang" w:cs="Times New Roman" w:ascii="Times New Roman" w:hAnsi="Times New Roman"/>
                <w:b/>
                <w:bCs/>
                <w:sz w:val="22"/>
                <w:szCs w:val="22"/>
                <w:lang w:eastAsia="hi-IN" w:bidi="hi-IN"/>
              </w:rPr>
              <w:t>1</w:t>
            </w:r>
            <w:r>
              <w:rPr>
                <w:rFonts w:eastAsia="Batang" w:cs="Times New Roman" w:ascii="Times New Roman" w:hAnsi="Times New Roman"/>
                <w:b/>
                <w:bCs/>
                <w:sz w:val="22"/>
                <w:szCs w:val="22"/>
                <w:vertAlign w:val="superscript"/>
                <w:lang w:eastAsia="hi-IN" w:bidi="hi-IN"/>
              </w:rPr>
              <w:t xml:space="preserve">o </w:t>
            </w:r>
            <w:r>
              <w:rPr>
                <w:rFonts w:eastAsia="Batang" w:cs="Times New Roman" w:ascii="Times New Roman" w:hAnsi="Times New Roman"/>
                <w:b/>
                <w:bCs/>
                <w:sz w:val="22"/>
                <w:szCs w:val="22"/>
                <w:lang w:eastAsia="hi-IN" w:bidi="hi-IN"/>
              </w:rPr>
              <w:t>Lugar do Edital da Agência Nacional de Águas em 2014</w:t>
            </w:r>
            <w:r>
              <w:rPr>
                <w:rFonts w:eastAsia="Batang" w:cs="Times New Roman" w:ascii="Times New Roman" w:hAnsi="Times New Roman"/>
                <w:sz w:val="22"/>
                <w:szCs w:val="22"/>
                <w:lang w:eastAsia="hi-IN" w:bidi="hi-IN"/>
              </w:rPr>
              <w:t xml:space="preserve">, concorrendo com projetos de todo o Brasil e </w:t>
            </w:r>
            <w:r>
              <w:rPr>
                <w:rFonts w:eastAsia="Batang" w:cs="Times New Roman" w:ascii="Times New Roman" w:hAnsi="Times New Roman"/>
                <w:b/>
                <w:bCs/>
                <w:sz w:val="22"/>
                <w:szCs w:val="22"/>
                <w:lang w:eastAsia="hi-IN" w:bidi="hi-IN"/>
              </w:rPr>
              <w:t xml:space="preserve">Vencedor do Prêmio CNMP 2017, </w:t>
            </w:r>
            <w:r>
              <w:rPr>
                <w:rFonts w:eastAsia="Batang" w:cs="Times New Roman" w:ascii="Times New Roman" w:hAnsi="Times New Roman"/>
                <w:sz w:val="22"/>
                <w:szCs w:val="22"/>
                <w:lang w:eastAsia="hi-IN" w:bidi="hi-IN"/>
              </w:rPr>
              <w:t>com aprovação de ampliação para a região da Foz do São Francisco, abrangendo a Bacia Hidrográfica do Rio Betume nos municípios sergipanos de Japaratuba, Pacatuba, Ilha das Flores, Japoatã, Neópolis e Muribeca</w:t>
            </w:r>
          </w:p>
          <w:p>
            <w:pPr>
              <w:pStyle w:val="Normal"/>
              <w:rPr/>
            </w:pPr>
            <w:r>
              <w:rPr/>
            </w:r>
          </w:p>
          <w:p>
            <w:pPr>
              <w:pStyle w:val="Normal"/>
              <w:rPr/>
            </w:pPr>
            <w:r>
              <w:rPr/>
            </w:r>
          </w:p>
          <w:p>
            <w:pPr>
              <w:pStyle w:val="Normal"/>
              <w:rPr/>
            </w:pPr>
            <w:r>
              <w:rPr/>
            </w:r>
          </w:p>
          <w:p>
            <w:pPr>
              <w:pStyle w:val="StudentInformation"/>
              <w:jc w:val="both"/>
              <w:rPr/>
            </w:pPr>
            <w:r>
              <w:rPr>
                <w:rFonts w:eastAsia="Batang" w:cs="Times New Roman" w:ascii="Times New Roman" w:hAnsi="Times New Roman"/>
                <w:b/>
                <w:bCs/>
                <w:sz w:val="22"/>
                <w:szCs w:val="22"/>
                <w:shd w:fill="C0C0C0" w:val="clear"/>
                <w:lang w:eastAsia="hi-IN" w:bidi="hi-IN"/>
              </w:rPr>
              <w:t>Projeto REDMMA – Rede de Meio Ambiente Ativa</w:t>
            </w:r>
          </w:p>
          <w:p>
            <w:pPr>
              <w:pStyle w:val="StudentInformation"/>
              <w:tabs>
                <w:tab w:val="left" w:pos="2271" w:leader="none"/>
              </w:tabs>
              <w:spacing w:lineRule="auto" w:line="276"/>
              <w:ind w:left="72" w:right="0" w:hanging="0"/>
              <w:jc w:val="both"/>
              <w:rPr/>
            </w:pPr>
            <w:r>
              <w:rPr/>
            </w:r>
          </w:p>
          <w:p>
            <w:pPr>
              <w:pStyle w:val="Normal"/>
              <w:widowControl/>
              <w:suppressAutoHyphens w:val="false"/>
              <w:spacing w:lineRule="atLeast" w:line="200"/>
              <w:ind w:left="0" w:right="0" w:firstLine="1140"/>
              <w:jc w:val="both"/>
              <w:rPr/>
            </w:pPr>
            <w:r>
              <w:rPr>
                <w:rFonts w:eastAsia="Batang" w:cs="Times New Roman"/>
                <w:sz w:val="22"/>
                <w:szCs w:val="22"/>
                <w:lang w:eastAsia="hi-IN"/>
              </w:rPr>
              <w:t>Visando cumprir a CRFB/1988, as exigências das políticas nacionais e estaduais do meio ambiente, bem como um dos eixos do Planejamento Estratégico Plurianual 2016-2019 do MPSE, o Centro de Apoio Operacional de Proteção ao Rio São Francisco e às Nascentes (CAOpSFN) vem atuando em conjunto com as Promotorias de Justiça do interior, a fim de que os municípios sergipanos implementem uma rede de meio ambiente ativa.</w:t>
            </w:r>
          </w:p>
          <w:p>
            <w:pPr>
              <w:pStyle w:val="Normal"/>
              <w:widowControl/>
              <w:suppressAutoHyphens w:val="false"/>
              <w:ind w:left="113" w:right="0" w:firstLine="1134"/>
              <w:jc w:val="both"/>
              <w:rPr/>
            </w:pPr>
            <w:r>
              <w:rPr/>
            </w:r>
          </w:p>
          <w:p>
            <w:pPr>
              <w:pStyle w:val="Normal"/>
              <w:widowControl/>
              <w:suppressAutoHyphens w:val="false"/>
              <w:ind w:left="113" w:right="0" w:firstLine="1134"/>
              <w:jc w:val="both"/>
              <w:rPr/>
            </w:pPr>
            <w:r>
              <w:rPr>
                <w:rFonts w:eastAsia="Batang" w:cs="Times New Roman"/>
                <w:sz w:val="22"/>
                <w:szCs w:val="22"/>
              </w:rPr>
              <w:t>Para tanto, primeiramente é feito um diagnóstico das condições do sistema municipal do meio ambiente.</w:t>
            </w:r>
            <w:r>
              <w:rPr>
                <w:rFonts w:eastAsia="Batang" w:cs="Times New Roman"/>
                <w:sz w:val="22"/>
                <w:szCs w:val="22"/>
                <w:lang w:eastAsia="hi-IN"/>
              </w:rPr>
              <w:t xml:space="preserve"> Após, em conjunto com o Promotor de Justiça local, </w:t>
            </w:r>
            <w:r>
              <w:rPr>
                <w:rFonts w:eastAsia="Batang" w:cs="Times New Roman"/>
                <w:sz w:val="22"/>
                <w:szCs w:val="22"/>
              </w:rPr>
              <w:t xml:space="preserve">são </w:t>
            </w:r>
            <w:r>
              <w:rPr>
                <w:rFonts w:eastAsia="Batang" w:cs="Times New Roman"/>
                <w:sz w:val="22"/>
                <w:szCs w:val="22"/>
                <w:lang w:eastAsia="hi-IN"/>
              </w:rPr>
              <w:t xml:space="preserve">notificados os representantes dos Poderes Executivo e Legislativo Municipais para apresentação do projeto e assinatura de Termo de Ajuste de Conduta, a fim que sejam encaminhados Projetos de Lei (PLs) à Câmara de Vereadores a fim de ser criada a Rede de Meio Ambiente Ativa, através da Secreteria (SMA), Conselho (CMMA) e Fundo Municipal do Meio Ambiente (FMMA). </w:t>
            </w:r>
          </w:p>
          <w:p>
            <w:pPr>
              <w:pStyle w:val="Normal"/>
              <w:widowControl/>
              <w:suppressAutoHyphens w:val="false"/>
              <w:ind w:left="113" w:right="0" w:firstLine="1134"/>
              <w:jc w:val="both"/>
              <w:rPr/>
            </w:pPr>
            <w:r>
              <w:rPr>
                <w:rFonts w:eastAsia="Trebuchet MS" w:cs="Times New Roman"/>
                <w:sz w:val="22"/>
                <w:szCs w:val="22"/>
                <w:lang w:eastAsia="hi-IN"/>
              </w:rPr>
              <w:t xml:space="preserve"> </w:t>
            </w:r>
          </w:p>
          <w:p>
            <w:pPr>
              <w:pStyle w:val="Normal"/>
              <w:widowControl/>
              <w:suppressAutoHyphens w:val="false"/>
              <w:ind w:left="113" w:right="0" w:firstLine="1134"/>
              <w:jc w:val="both"/>
              <w:rPr/>
            </w:pPr>
            <w:r>
              <w:rPr>
                <w:rFonts w:eastAsia="Batang" w:cs="Times New Roman"/>
                <w:sz w:val="22"/>
                <w:szCs w:val="22"/>
                <w:lang w:eastAsia="hi-IN"/>
              </w:rPr>
              <w:t>Aprovados, sancionados e publicados os PLs, o MP/SE fomenta a mobilização da Administração Direta e Indireta do Município e da sociedade civil para a nomeação e posse dos conselheiros ambientais e do Conselho Gestor do FMMA, sendo tudo acompanhado e monitorado dentro do presente Projeto, através do Centro de Apoio(CaopSFN).</w:t>
            </w:r>
          </w:p>
          <w:p>
            <w:pPr>
              <w:pStyle w:val="Normal"/>
              <w:widowControl/>
              <w:suppressAutoHyphens w:val="false"/>
              <w:ind w:left="113" w:right="0" w:firstLine="1134"/>
              <w:jc w:val="both"/>
              <w:rPr/>
            </w:pPr>
            <w:r>
              <w:rPr/>
            </w:r>
          </w:p>
          <w:p>
            <w:pPr>
              <w:pStyle w:val="Normal"/>
              <w:widowControl/>
              <w:suppressAutoHyphens w:val="false"/>
              <w:spacing w:lineRule="atLeast" w:line="200"/>
              <w:ind w:left="113" w:right="0" w:firstLine="1134"/>
              <w:jc w:val="both"/>
              <w:rPr/>
            </w:pPr>
            <w:r>
              <w:rPr>
                <w:rFonts w:eastAsia="Batang" w:cs="Times New Roman"/>
                <w:sz w:val="22"/>
                <w:szCs w:val="22"/>
                <w:lang w:val="pt-PT" w:eastAsia="hi-IN"/>
              </w:rPr>
              <w:t xml:space="preserve">Por fim, com a parceria da SEMARH/SE e IBAMA, é realizado treinamento/capacitação dos integrantes do sistema municipal do meio ambiente e acompanhamento presencial com total apoio da 1ª (primeira) reunião do CMMA no Município (interior do Estado) para que haja garantia de implementação e funcionamento da rede, com estabelecimento de eleição democrática para presidência, cronograma de discussões e demais itens necessários, com posterior fiscalização </w:t>
            </w:r>
            <w:r>
              <w:rPr>
                <w:rFonts w:eastAsia="Batang" w:cs="Times New Roman"/>
                <w:i/>
                <w:iCs/>
                <w:sz w:val="22"/>
                <w:szCs w:val="22"/>
                <w:lang w:val="pt-PT" w:eastAsia="hi-IN"/>
              </w:rPr>
              <w:t>in loco</w:t>
            </w:r>
            <w:r>
              <w:rPr>
                <w:rFonts w:eastAsia="Batang" w:cs="Times New Roman"/>
                <w:sz w:val="22"/>
                <w:szCs w:val="22"/>
                <w:lang w:val="pt-PT" w:eastAsia="hi-IN"/>
              </w:rPr>
              <w:t xml:space="preserve"> da rede.</w:t>
            </w:r>
          </w:p>
          <w:p>
            <w:pPr>
              <w:pStyle w:val="Normal"/>
              <w:widowControl/>
              <w:suppressAutoHyphens w:val="false"/>
              <w:spacing w:lineRule="atLeast" w:line="200"/>
              <w:ind w:left="113" w:right="0" w:firstLine="1134"/>
              <w:jc w:val="both"/>
              <w:rPr/>
            </w:pPr>
            <w:r>
              <w:rPr/>
            </w:r>
          </w:p>
          <w:p>
            <w:pPr>
              <w:pStyle w:val="Normal"/>
              <w:widowControl/>
              <w:suppressAutoHyphens w:val="false"/>
              <w:spacing w:lineRule="atLeast" w:line="200"/>
              <w:ind w:left="113" w:right="0" w:firstLine="1134"/>
              <w:jc w:val="both"/>
              <w:rPr/>
            </w:pPr>
            <w:r>
              <w:rPr>
                <w:rFonts w:eastAsia="Batang" w:cs="Times New Roman"/>
                <w:sz w:val="22"/>
                <w:szCs w:val="22"/>
                <w:lang w:val="pt-PT" w:eastAsia="hi-IN"/>
              </w:rPr>
              <w:t>Segue, abaixo, o índice de adesão do munícipos sergipanos ao Projeto, de acordo com tabela em anexo:</w:t>
            </w:r>
          </w:p>
          <w:p>
            <w:pPr>
              <w:pStyle w:val="Normal"/>
              <w:widowControl/>
              <w:suppressAutoHyphens w:val="false"/>
              <w:spacing w:lineRule="atLeast" w:line="200"/>
              <w:ind w:left="113" w:right="0" w:firstLine="1134"/>
              <w:jc w:val="both"/>
              <w:rPr/>
            </w:pPr>
            <w:r>
              <w:rPr/>
            </w:r>
          </w:p>
          <w:p>
            <w:pPr>
              <w:pStyle w:val="Normal"/>
              <w:widowControl/>
              <w:suppressAutoHyphens w:val="false"/>
              <w:spacing w:lineRule="atLeast" w:line="200"/>
              <w:ind w:left="113" w:right="0" w:firstLine="1134"/>
              <w:jc w:val="both"/>
              <w:rPr/>
            </w:pPr>
            <w:r>
              <w:rPr/>
            </w:r>
          </w:p>
          <w:p>
            <w:pPr>
              <w:pStyle w:val="Normal"/>
              <w:widowControl/>
              <w:suppressAutoHyphens w:val="false"/>
              <w:spacing w:lineRule="atLeast" w:line="200"/>
              <w:ind w:left="113" w:right="0" w:firstLine="1134"/>
              <w:jc w:val="both"/>
              <w:rPr/>
            </w:pPr>
            <w:r>
              <w:rPr/>
              <w:drawing>
                <wp:anchor behindDoc="0" distT="0" distB="0" distL="0" distR="0" simplePos="0" locked="0" layoutInCell="1" allowOverlap="1" relativeHeight="2">
                  <wp:simplePos x="0" y="0"/>
                  <wp:positionH relativeFrom="character">
                    <wp:posOffset>39370</wp:posOffset>
                  </wp:positionH>
                  <wp:positionV relativeFrom="line">
                    <wp:posOffset>635</wp:posOffset>
                  </wp:positionV>
                  <wp:extent cx="5892165" cy="4419600"/>
                  <wp:effectExtent l="0" t="0" r="0" b="0"/>
                  <wp:wrapSquare wrapText="largest"/>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4"/>
                          <a:stretch>
                            <a:fillRect/>
                          </a:stretch>
                        </pic:blipFill>
                        <pic:spPr bwMode="auto">
                          <a:xfrm>
                            <a:off x="0" y="0"/>
                            <a:ext cx="5892165" cy="4419600"/>
                          </a:xfrm>
                          <a:prstGeom prst="rect">
                            <a:avLst/>
                          </a:prstGeom>
                        </pic:spPr>
                      </pic:pic>
                    </a:graphicData>
                  </a:graphic>
                </wp:anchor>
              </w:drawing>
            </w:r>
          </w:p>
          <w:p>
            <w:pPr>
              <w:pStyle w:val="ListParagraph"/>
              <w:widowControl/>
              <w:tabs>
                <w:tab w:val="left" w:pos="2271" w:leader="none"/>
              </w:tabs>
              <w:suppressAutoHyphens w:val="false"/>
              <w:spacing w:lineRule="auto" w:line="276"/>
              <w:ind w:left="72" w:right="0" w:hanging="0"/>
              <w:jc w:val="both"/>
              <w:rPr/>
            </w:pPr>
            <w:r>
              <w:rPr>
                <w:rFonts w:eastAsia="Batang" w:cs="Times New Roman"/>
                <w:b/>
                <w:bCs/>
                <w:sz w:val="22"/>
                <w:szCs w:val="22"/>
                <w:shd w:fill="C0C0C0" w:val="clear"/>
                <w:lang w:val="pt-PT" w:eastAsia="hi-IN"/>
              </w:rPr>
              <w:t>Fiscalização Preventiva Integrada – FPI</w:t>
            </w:r>
          </w:p>
          <w:p>
            <w:pPr>
              <w:pStyle w:val="ListParagraph"/>
              <w:widowControl/>
              <w:tabs>
                <w:tab w:val="left" w:pos="2271" w:leader="none"/>
              </w:tabs>
              <w:suppressAutoHyphens w:val="false"/>
              <w:spacing w:lineRule="auto" w:line="276"/>
              <w:ind w:left="72" w:right="0" w:hanging="0"/>
              <w:jc w:val="both"/>
              <w:rPr/>
            </w:pPr>
            <w:r>
              <w:rPr/>
            </w:r>
          </w:p>
          <w:p>
            <w:pPr>
              <w:pStyle w:val="Normal"/>
              <w:spacing w:before="113" w:after="113"/>
              <w:contextualSpacing/>
              <w:jc w:val="both"/>
              <w:rPr/>
            </w:pPr>
            <w:r>
              <w:rPr>
                <w:rFonts w:cs="Times New Roman"/>
                <w:sz w:val="22"/>
                <w:szCs w:val="22"/>
              </w:rPr>
              <w:t>A Fiscalização Preventiva Integrada - FPI tem como objetivo a proteção do meio ambiente natural e cultural na Bacia do Rio São Francisco, por meio de ações planejadas e integradas de conservação e revitalização. As ações se concentram nos municípios que compõem a bacia hidrográfica do Rio São Francisco. Em Sergipe, a ação integrada começou em 2016 e já fiscalizou integralmente o Baixo São Francisco Sergipano composto por 28 municípios.</w:t>
            </w:r>
          </w:p>
          <w:p>
            <w:pPr>
              <w:pStyle w:val="Normal"/>
              <w:spacing w:before="113" w:after="113"/>
              <w:contextualSpacing/>
              <w:jc w:val="both"/>
              <w:rPr/>
            </w:pPr>
            <w:r>
              <w:rPr>
                <w:rFonts w:cs="Times New Roman"/>
                <w:sz w:val="22"/>
                <w:szCs w:val="22"/>
              </w:rPr>
              <w:t>A FPI é coordenada pelos Ministérios Públicos Estadual, através deste CaopSFN, e Federal e conta com o apoio do Comitê da Bacia Hidrográfica do Rio São Francisco. Também participam das atividades, diversos órgãos, autarquias e instituições não governamentais.</w:t>
            </w:r>
          </w:p>
          <w:p>
            <w:pPr>
              <w:pStyle w:val="Normal"/>
              <w:spacing w:before="113" w:after="113"/>
              <w:contextualSpacing/>
              <w:jc w:val="both"/>
              <w:rPr/>
            </w:pPr>
            <w:r>
              <w:rPr>
                <w:rFonts w:cs="Times New Roman"/>
                <w:sz w:val="22"/>
                <w:szCs w:val="22"/>
              </w:rPr>
              <w:t>Durante a fiscalização, os técnicos se dividem em 13 equipes que atuam em diversas áreas:</w:t>
            </w:r>
          </w:p>
          <w:p>
            <w:pPr>
              <w:pStyle w:val="Normal"/>
              <w:spacing w:before="113" w:after="113"/>
              <w:contextualSpacing/>
              <w:jc w:val="both"/>
              <w:rPr/>
            </w:pPr>
            <w:r>
              <w:rPr>
                <w:rFonts w:cs="Times New Roman"/>
                <w:sz w:val="22"/>
                <w:szCs w:val="22"/>
              </w:rPr>
              <w:t>SANEAMENTO I E II – Duas equipes fiscalizam a prestação dos serviços de agua, esgoto e resíduos sólidos dos municípios.</w:t>
            </w:r>
          </w:p>
          <w:p>
            <w:pPr>
              <w:pStyle w:val="Normal"/>
              <w:spacing w:before="113" w:after="113"/>
              <w:contextualSpacing/>
              <w:jc w:val="both"/>
              <w:rPr/>
            </w:pPr>
            <w:r>
              <w:rPr>
                <w:rFonts w:cs="Times New Roman"/>
                <w:sz w:val="22"/>
                <w:szCs w:val="22"/>
              </w:rPr>
              <w:t>GESTÃO AMBIENTAL I E II – Duas equipes visitam gestores e profissionais da área ambiental dos municípios para dar orientação sobre estruturação ambiental dos municípios.</w:t>
            </w:r>
          </w:p>
          <w:p>
            <w:pPr>
              <w:pStyle w:val="Normal"/>
              <w:spacing w:before="113" w:after="113"/>
              <w:contextualSpacing/>
              <w:jc w:val="both"/>
              <w:rPr/>
            </w:pPr>
            <w:r>
              <w:rPr>
                <w:rFonts w:cs="Times New Roman"/>
                <w:sz w:val="22"/>
                <w:szCs w:val="22"/>
              </w:rPr>
              <w:t xml:space="preserve">ESPELEOLOGIA, ARQUEOLOGIA E PALEONTOLOGIA – A equipe faz a prospecção de cavernas e busca identificar áreas com a presença de materiais de interesse paleontologico e arqueologico, terrestres e subaquaticos. Também indicam medidas necessárias para proteção desses sítios. </w:t>
            </w:r>
          </w:p>
          <w:p>
            <w:pPr>
              <w:pStyle w:val="Normal"/>
              <w:spacing w:before="113" w:after="113"/>
              <w:contextualSpacing/>
              <w:jc w:val="both"/>
              <w:rPr/>
            </w:pPr>
            <w:r>
              <w:rPr>
                <w:rFonts w:cs="Times New Roman"/>
                <w:sz w:val="22"/>
                <w:szCs w:val="22"/>
              </w:rPr>
              <w:t>MINERAÇÃO – A equipe visita pontos de extração de minério para verificar a regularidade dos empreendimentos e identificar danos ambientais.</w:t>
            </w:r>
          </w:p>
          <w:p>
            <w:pPr>
              <w:pStyle w:val="Normal"/>
              <w:spacing w:before="113" w:after="113"/>
              <w:contextualSpacing/>
              <w:jc w:val="both"/>
              <w:rPr/>
            </w:pPr>
            <w:r>
              <w:rPr>
                <w:rFonts w:cs="Times New Roman"/>
                <w:sz w:val="22"/>
                <w:szCs w:val="22"/>
              </w:rPr>
              <w:t>AQUICULTURA – Fiscaliza criação de peixes, camarões e de outros animais aquáticos para consumo humano.</w:t>
            </w:r>
          </w:p>
          <w:p>
            <w:pPr>
              <w:pStyle w:val="Normal"/>
              <w:spacing w:before="113" w:after="113"/>
              <w:contextualSpacing/>
              <w:jc w:val="both"/>
              <w:rPr/>
            </w:pPr>
            <w:r>
              <w:rPr>
                <w:rFonts w:cs="Times New Roman"/>
                <w:sz w:val="22"/>
                <w:szCs w:val="22"/>
              </w:rPr>
              <w:t xml:space="preserve">AQUÁTICA – Fiscaliza atividades desenvolvidas no Rio São Francisco, a regularidade de embarcações e de construções. Desenvolve atividades de educação ambiental com ribeirinhos e colônias de pescadores. </w:t>
            </w:r>
          </w:p>
          <w:p>
            <w:pPr>
              <w:pStyle w:val="Normal"/>
              <w:spacing w:before="113" w:after="113"/>
              <w:contextualSpacing/>
              <w:jc w:val="both"/>
              <w:rPr/>
            </w:pPr>
            <w:r>
              <w:rPr>
                <w:rFonts w:cs="Times New Roman"/>
                <w:sz w:val="22"/>
                <w:szCs w:val="22"/>
              </w:rPr>
              <w:t>FAUNA – Resgate animais silvestres em cativeiro ilegal, oferece tratamento e os devolve a natureza ou encaminha para processo de readaptação.</w:t>
            </w:r>
          </w:p>
          <w:p>
            <w:pPr>
              <w:pStyle w:val="Normal"/>
              <w:spacing w:before="113" w:after="113"/>
              <w:contextualSpacing/>
              <w:jc w:val="both"/>
              <w:rPr/>
            </w:pPr>
            <w:r>
              <w:rPr>
                <w:rFonts w:cs="Times New Roman"/>
                <w:sz w:val="22"/>
                <w:szCs w:val="22"/>
              </w:rPr>
              <w:t xml:space="preserve">PATRIMONIO CULTURAL E COMUNIDADES TRADICIONAIS – Visita comunidades tradicionais da Bacia como índios, quilombolas e ribeirinhos, levantando as demandas desses grupos. Verifica a integridade do patrimônio cultural material e imaterial nos municípios fiscalizados. </w:t>
            </w:r>
          </w:p>
          <w:p>
            <w:pPr>
              <w:pStyle w:val="Normal"/>
              <w:spacing w:before="113" w:after="113"/>
              <w:contextualSpacing/>
              <w:jc w:val="both"/>
              <w:rPr/>
            </w:pPr>
            <w:r>
              <w:rPr>
                <w:rFonts w:cs="Times New Roman"/>
                <w:sz w:val="22"/>
                <w:szCs w:val="22"/>
              </w:rPr>
              <w:t xml:space="preserve">AGROTÓXICOS – Fiscaliza revendas e empreendimentos para verificar a regularidade dos agrotóxicos disponibilizados. </w:t>
            </w:r>
          </w:p>
          <w:p>
            <w:pPr>
              <w:pStyle w:val="Normal"/>
              <w:spacing w:before="113" w:after="113"/>
              <w:contextualSpacing/>
              <w:jc w:val="both"/>
              <w:rPr/>
            </w:pPr>
            <w:r>
              <w:rPr>
                <w:rFonts w:cs="Times New Roman"/>
                <w:sz w:val="22"/>
                <w:szCs w:val="22"/>
              </w:rPr>
              <w:t>FLORA – Fiscaliza desmatamento, retirada e transporte ilegal de madeira, áreas de preservação permanente e a regularidade do Cadastro Ambiental Rural – CAR.</w:t>
            </w:r>
          </w:p>
          <w:p>
            <w:pPr>
              <w:pStyle w:val="Normal"/>
              <w:spacing w:before="113" w:after="113"/>
              <w:contextualSpacing/>
              <w:jc w:val="both"/>
              <w:rPr/>
            </w:pPr>
            <w:r>
              <w:rPr>
                <w:rFonts w:cs="Times New Roman"/>
                <w:sz w:val="22"/>
                <w:szCs w:val="22"/>
              </w:rPr>
              <w:t xml:space="preserve">ABATE – Fiscaliza a regularidade dos matadouros, laticínios e mercados municipais. </w:t>
            </w:r>
          </w:p>
          <w:p>
            <w:pPr>
              <w:pStyle w:val="Normal"/>
              <w:spacing w:before="113" w:after="113"/>
              <w:contextualSpacing/>
              <w:jc w:val="both"/>
              <w:rPr/>
            </w:pPr>
            <w:r>
              <w:rPr>
                <w:rFonts w:cs="Times New Roman"/>
                <w:sz w:val="22"/>
                <w:szCs w:val="22"/>
              </w:rPr>
              <w:t xml:space="preserve">No último dia de cada etapa da FPI, há uma Audiência Pública para prestação de contas das atividades realizadas e para ouvir a comunidade acerca das matérias objeto da fiscalização. </w:t>
            </w:r>
          </w:p>
          <w:p>
            <w:pPr>
              <w:pStyle w:val="Normal"/>
              <w:spacing w:before="113" w:after="113"/>
              <w:contextualSpacing/>
              <w:jc w:val="both"/>
              <w:rPr/>
            </w:pPr>
            <w:r>
              <w:rPr>
                <w:rFonts w:cs="Times New Roman"/>
                <w:bCs/>
                <w:sz w:val="22"/>
                <w:szCs w:val="22"/>
              </w:rPr>
              <w:t>INTEGRAM A FPI EM SERGIPE 30 instituições:</w:t>
            </w:r>
            <w:r>
              <w:rPr>
                <w:rFonts w:cs="Times New Roman"/>
                <w:sz w:val="22"/>
                <w:szCs w:val="22"/>
              </w:rPr>
              <w:t xml:space="preserve"> MPE-SE, MPF/SE, CBHSF ANM, CREA/SE, Ibama, Incra, IPHAN, Funasa, FCP, Marinha, MAPA, MAX, MPF/SE, PRF, SPU, UFS, Adema/SE, CBM/SE, Covisa/SE, Emdagro/SE, GTA/SSP-SE, PM-SE, Secult/SE, Semarh/SE, SEMA/AJU,Sociedade Civil – Ong Centro da Terra. </w:t>
            </w:r>
          </w:p>
          <w:p>
            <w:pPr>
              <w:pStyle w:val="Normal"/>
              <w:spacing w:before="113" w:after="113"/>
              <w:contextualSpacing/>
              <w:jc w:val="both"/>
              <w:rPr/>
            </w:pPr>
            <w:r>
              <w:rPr/>
            </w:r>
          </w:p>
          <w:p>
            <w:pPr>
              <w:pStyle w:val="Normal"/>
              <w:spacing w:before="113" w:after="113"/>
              <w:contextualSpacing/>
              <w:jc w:val="both"/>
              <w:rPr/>
            </w:pPr>
            <w:r>
              <w:rPr/>
            </w:r>
          </w:p>
          <w:p>
            <w:pPr>
              <w:pStyle w:val="Normal"/>
              <w:rPr/>
            </w:pPr>
            <w:r>
              <w:rPr/>
            </w:r>
          </w:p>
        </w:tc>
      </w:tr>
    </w:tbl>
    <w:p>
      <w:pPr>
        <w:pStyle w:val="Normal"/>
        <w:jc w:val="both"/>
        <w:rPr/>
      </w:pPr>
      <w:r>
        <w:rPr/>
      </w:r>
    </w:p>
    <w:p>
      <w:pPr>
        <w:pStyle w:val="Normal"/>
        <w:jc w:val="both"/>
        <w:rPr/>
      </w:pPr>
      <w:r>
        <w:rPr>
          <w:rFonts w:cs="Times New Roman"/>
          <w:b/>
          <w:bCs/>
          <w:sz w:val="22"/>
          <w:szCs w:val="22"/>
        </w:rPr>
        <w:t>5) AVALIAÇÃO QUALITATIVA DA ATUAÇÃO FUNCIONAL</w:t>
      </w:r>
      <w:r>
        <w:rPr>
          <w:rStyle w:val="Ncoradanotaderodap"/>
          <w:rFonts w:cs="Times New Roman"/>
          <w:b/>
          <w:bCs/>
          <w:sz w:val="22"/>
          <w:szCs w:val="22"/>
        </w:rPr>
        <w:footnoteReference w:id="3"/>
      </w:r>
    </w:p>
    <w:p>
      <w:pPr>
        <w:pStyle w:val="Normal"/>
        <w:jc w:val="both"/>
        <w:rPr/>
      </w:pPr>
      <w:r>
        <w:rPr/>
      </w:r>
    </w:p>
    <w:p>
      <w:pPr>
        <w:pStyle w:val="Normal"/>
        <w:jc w:val="both"/>
        <w:rPr/>
      </w:pPr>
      <w:r>
        <w:rPr/>
      </w:r>
    </w:p>
    <w:tbl>
      <w:tblPr>
        <w:tblW w:w="9652" w:type="dxa"/>
        <w:jc w:val="left"/>
        <w:tblInd w:w="38" w:type="dxa"/>
        <w:tblBorders>
          <w:top w:val="single" w:sz="2" w:space="0" w:color="000001"/>
          <w:left w:val="single" w:sz="2" w:space="0" w:color="000001"/>
          <w:bottom w:val="single" w:sz="2" w:space="0" w:color="000001"/>
          <w:insideH w:val="single" w:sz="2" w:space="0" w:color="000001"/>
        </w:tblBorders>
        <w:tblCellMar>
          <w:top w:w="55" w:type="dxa"/>
          <w:left w:w="33" w:type="dxa"/>
          <w:bottom w:w="55" w:type="dxa"/>
          <w:right w:w="55" w:type="dxa"/>
        </w:tblCellMar>
      </w:tblPr>
      <w:tblGrid>
        <w:gridCol w:w="2634"/>
        <w:gridCol w:w="7017"/>
      </w:tblGrid>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5.1 Exercício da função pedagógica da cidadania</w:t>
            </w:r>
            <w:r>
              <w:rPr>
                <w:rStyle w:val="Ncoradanotaderodap"/>
                <w:rFonts w:cs="Times New Roman"/>
                <w:b/>
                <w:bCs/>
                <w:sz w:val="22"/>
                <w:szCs w:val="22"/>
              </w:rPr>
              <w:footnoteReference w:id="4"/>
            </w:r>
          </w:p>
          <w:p>
            <w:pPr>
              <w:pStyle w:val="Contedodetabela"/>
              <w:jc w:val="both"/>
              <w:rPr/>
            </w:pPr>
            <w:r>
              <w:rPr/>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rFonts w:cs="Times New Roman"/>
                <w:sz w:val="22"/>
                <w:szCs w:val="22"/>
              </w:rPr>
              <w:t>Mediante a realização de palestras em escolas, órgãos públicos e demais instituições, sempre quando convidado para tanto.</w:t>
            </w:r>
          </w:p>
        </w:tc>
      </w:tr>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5.2 Realização periódica de audiências públicas</w:t>
            </w:r>
            <w:r>
              <w:rPr>
                <w:rStyle w:val="Ncoradanotaderodap"/>
                <w:rFonts w:cs="Times New Roman"/>
                <w:b/>
                <w:bCs/>
                <w:sz w:val="22"/>
                <w:szCs w:val="22"/>
              </w:rPr>
              <w:footnoteReference w:id="5"/>
            </w:r>
          </w:p>
          <w:p>
            <w:pPr>
              <w:pStyle w:val="Normal"/>
              <w:jc w:val="both"/>
              <w:rPr/>
            </w:pPr>
            <w:r>
              <w:rPr/>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spacing w:before="113" w:after="113"/>
              <w:contextualSpacing/>
              <w:jc w:val="both"/>
              <w:rPr/>
            </w:pPr>
            <w:r>
              <w:rPr>
                <w:rFonts w:cs="Times New Roman"/>
                <w:sz w:val="22"/>
                <w:szCs w:val="22"/>
              </w:rPr>
              <w:t xml:space="preserve">As audiências públicas são realizadas em temas de atribuições específicas do Ministério Público. No último dia de cada etapa da FPI, há uma Audiência Pública para prestação de contas das atividades realizadas e para ouvir a comunidade acerca das matérias objeto da fiscalização nos temas de Saneamento (Abastecimento de Água, Esgotamento Sanitário, Resíduos Sólidos), Agrotóxicos, Flora, Fauna, Abate, Aquática,  Aquicultura, Mineração, . </w:t>
            </w:r>
          </w:p>
          <w:p>
            <w:pPr>
              <w:pStyle w:val="Normal"/>
              <w:spacing w:before="113" w:after="113"/>
              <w:contextualSpacing/>
              <w:jc w:val="both"/>
              <w:rPr/>
            </w:pPr>
            <w:r>
              <w:rPr>
                <w:rFonts w:cs="Times New Roman"/>
                <w:sz w:val="22"/>
                <w:szCs w:val="22"/>
              </w:rPr>
              <w:t>Foram realizadas 03 (três) Audiências Públicas nos anos de 2016, 2017 e 2018, nos termos da Resolução 82/2012 do CNMP.</w:t>
            </w:r>
          </w:p>
          <w:p>
            <w:pPr>
              <w:pStyle w:val="Normal"/>
              <w:jc w:val="both"/>
              <w:rPr/>
            </w:pPr>
            <w:r>
              <w:rPr/>
            </w:r>
          </w:p>
        </w:tc>
      </w:tr>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5.3 Combater as causas que geram desigualdades</w:t>
            </w:r>
            <w:r>
              <w:rPr>
                <w:rStyle w:val="Ncoradanotaderodap"/>
                <w:rFonts w:cs="Times New Roman"/>
                <w:b/>
                <w:bCs/>
                <w:sz w:val="22"/>
                <w:szCs w:val="22"/>
              </w:rPr>
              <w:footnoteReference w:id="6"/>
            </w:r>
          </w:p>
          <w:p>
            <w:pPr>
              <w:pStyle w:val="Contedodetabela"/>
              <w:jc w:val="both"/>
              <w:rPr/>
            </w:pPr>
            <w:r>
              <w:rPr/>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rFonts w:cs="Times New Roman"/>
                <w:sz w:val="22"/>
                <w:szCs w:val="22"/>
              </w:rPr>
              <w:t>Sim. São realizadas as Audiências Públicas nos temas específicos já listados no item acima. Através da manutenção de diálogo com religiões de matrizes africanas, no enfrentamento das dificuldades por elas enfrentadas.</w:t>
            </w:r>
          </w:p>
        </w:tc>
      </w:tr>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5.4 Incentivo ao controle de constitucionalidade</w:t>
            </w:r>
            <w:r>
              <w:rPr>
                <w:rStyle w:val="Ncoradanotaderodap"/>
                <w:rFonts w:cs="Times New Roman"/>
                <w:b/>
                <w:bCs/>
                <w:sz w:val="22"/>
                <w:szCs w:val="22"/>
              </w:rPr>
              <w:footnoteReference w:id="7"/>
            </w:r>
          </w:p>
          <w:p>
            <w:pPr>
              <w:pStyle w:val="Normal"/>
              <w:jc w:val="both"/>
              <w:rPr/>
            </w:pPr>
            <w:r>
              <w:rPr/>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Normal"/>
              <w:jc w:val="both"/>
              <w:rPr/>
            </w:pPr>
            <w:r>
              <w:rPr/>
              <w:t>---</w:t>
            </w:r>
          </w:p>
        </w:tc>
      </w:tr>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Normal"/>
              <w:jc w:val="both"/>
              <w:rPr/>
            </w:pPr>
            <w:r>
              <w:rPr>
                <w:rFonts w:cs="Times New Roman"/>
                <w:b/>
                <w:bCs/>
                <w:sz w:val="22"/>
                <w:szCs w:val="22"/>
              </w:rPr>
              <w:t>5.5 Fiscalização do cumprimento das sentenças de procedência proferidas em ações promovidas pelo MP</w:t>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jc w:val="both"/>
              <w:rPr/>
            </w:pPr>
            <w:r>
              <w:rPr/>
            </w:r>
          </w:p>
        </w:tc>
      </w:tr>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5.6 Incentivar o cumprimento da Resolução 118 do CNMP: priorização da resolução consensual das demandas</w:t>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jc w:val="both"/>
              <w:rPr/>
            </w:pPr>
            <w:r>
              <w:rPr>
                <w:rFonts w:cs="Times New Roman"/>
                <w:sz w:val="22"/>
                <w:szCs w:val="22"/>
              </w:rPr>
              <w:t>O incentivo a resolução consensual é prioritário na atuação Ministerial, com a devida observância das leis vigentes e atos normativos expedidos pelo CNMP.</w:t>
            </w:r>
          </w:p>
        </w:tc>
      </w:tr>
      <w:tr>
        <w:trPr/>
        <w:tc>
          <w:tcPr>
            <w:tcW w:w="2634" w:type="dxa"/>
            <w:tcBorders>
              <w:top w:val="single" w:sz="2" w:space="0" w:color="000001"/>
              <w:left w:val="single" w:sz="2" w:space="0" w:color="000001"/>
              <w:bottom w:val="single" w:sz="2" w:space="0" w:color="000001"/>
              <w:insideH w:val="single" w:sz="2" w:space="0" w:color="000001"/>
            </w:tcBorders>
            <w:shd w:fill="E6E6E6" w:val="clear"/>
            <w:tcMar>
              <w:left w:w="33" w:type="dxa"/>
            </w:tcMar>
          </w:tcPr>
          <w:p>
            <w:pPr>
              <w:pStyle w:val="Contedodetabela"/>
              <w:jc w:val="both"/>
              <w:rPr/>
            </w:pPr>
            <w:r>
              <w:rPr>
                <w:rFonts w:cs="Times New Roman"/>
                <w:b/>
                <w:bCs/>
                <w:sz w:val="22"/>
                <w:szCs w:val="22"/>
              </w:rPr>
              <w:t>5.7 Atua ou atuou em casos complexos ou de repercussão social no último ano</w:t>
            </w:r>
          </w:p>
        </w:tc>
        <w:tc>
          <w:tcPr>
            <w:tcW w:w="701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FFFFFF" w:val="clear"/>
            <w:tcMar>
              <w:left w:w="33" w:type="dxa"/>
            </w:tcMar>
          </w:tcPr>
          <w:p>
            <w:pPr>
              <w:pStyle w:val="Contedodetabela"/>
              <w:jc w:val="both"/>
              <w:rPr/>
            </w:pPr>
            <w:r>
              <w:rPr/>
            </w:r>
          </w:p>
        </w:tc>
      </w:tr>
    </w:tbl>
    <w:p>
      <w:pPr>
        <w:pStyle w:val="Normal"/>
        <w:jc w:val="both"/>
        <w:rPr/>
      </w:pPr>
      <w:bookmarkStart w:id="1" w:name="_GoBack"/>
      <w:bookmarkStart w:id="2" w:name="_GoBack"/>
      <w:bookmarkEnd w:id="2"/>
      <w:r>
        <w:rPr/>
      </w:r>
    </w:p>
    <w:p>
      <w:pPr>
        <w:pStyle w:val="Normal"/>
        <w:jc w:val="both"/>
        <w:rPr>
          <w:rFonts w:ascii="Times New Roman" w:hAnsi="Times New Roman" w:eastAsia="TimesNewRomanPS-BoldMT" w:cs="Times New Roman"/>
          <w:b/>
          <w:b/>
          <w:bCs/>
          <w:color w:val="00000A"/>
          <w:sz w:val="22"/>
          <w:szCs w:val="22"/>
          <w:lang w:eastAsia="en-US"/>
        </w:rPr>
      </w:pPr>
      <w:r>
        <w:rPr>
          <w:rFonts w:eastAsia="TimesNewRomanPS-BoldMT" w:cs="Times New Roman"/>
          <w:b/>
          <w:bCs/>
          <w:color w:val="00000A"/>
          <w:sz w:val="22"/>
          <w:szCs w:val="22"/>
          <w:lang w:eastAsia="en-US"/>
        </w:rPr>
        <w:t>6) REGISTRO FOTOGRÁFICO</w:t>
      </w:r>
    </w:p>
    <w:p>
      <w:pPr>
        <w:pStyle w:val="Normal"/>
        <w:jc w:val="both"/>
        <w:rPr>
          <w:rFonts w:ascii="Times New Roman" w:hAnsi="Times New Roman" w:eastAsia="TimesNewRomanPS-BoldMT" w:cs="Times New Roman"/>
          <w:b/>
          <w:b/>
          <w:bCs/>
          <w:color w:val="00000A"/>
          <w:sz w:val="22"/>
          <w:szCs w:val="22"/>
          <w:lang w:eastAsia="en-US"/>
        </w:rPr>
      </w:pPr>
      <w:r>
        <w:rPr>
          <w:rFonts w:eastAsia="TimesNewRomanPS-BoldMT" w:cs="Times New Roman"/>
          <w:b/>
          <w:bCs/>
          <w:color w:val="00000A"/>
          <w:sz w:val="22"/>
          <w:szCs w:val="22"/>
          <w:lang w:eastAsia="en-US"/>
        </w:rPr>
      </w:r>
    </w:p>
    <w:p>
      <w:pPr>
        <w:pStyle w:val="Normal"/>
        <w:jc w:val="both"/>
        <w:rPr>
          <w:rFonts w:ascii="Times New Roman" w:hAnsi="Times New Roman" w:eastAsia="TimesNewRomanPS-BoldMT" w:cs="Times New Roman"/>
          <w:b/>
          <w:b/>
          <w:bCs/>
          <w:color w:val="00000A"/>
          <w:sz w:val="22"/>
          <w:szCs w:val="22"/>
          <w:lang w:eastAsia="en-US"/>
        </w:rPr>
      </w:pPr>
      <w:r>
        <w:rPr>
          <w:rFonts w:eastAsia="TimesNewRomanPS-BoldMT" w:cs="Times New Roman"/>
          <w:b/>
          <w:bCs/>
          <w:color w:val="00000A"/>
          <w:sz w:val="22"/>
          <w:szCs w:val="22"/>
          <w:lang w:eastAsia="en-US"/>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6120130" cy="2974975"/>
            <wp:effectExtent l="0" t="0" r="0" b="0"/>
            <wp:wrapSquare wrapText="largest"/>
            <wp:docPr id="2"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descr=""/>
                    <pic:cNvPicPr>
                      <a:picLocks noChangeAspect="1" noChangeArrowheads="1"/>
                    </pic:cNvPicPr>
                  </pic:nvPicPr>
                  <pic:blipFill>
                    <a:blip r:embed="rId5"/>
                    <a:stretch>
                      <a:fillRect/>
                    </a:stretch>
                  </pic:blipFill>
                  <pic:spPr bwMode="auto">
                    <a:xfrm>
                      <a:off x="0" y="0"/>
                      <a:ext cx="6120130" cy="2974975"/>
                    </a:xfrm>
                    <a:prstGeom prst="rect">
                      <a:avLst/>
                    </a:prstGeom>
                  </pic:spPr>
                </pic:pic>
              </a:graphicData>
            </a:graphic>
          </wp:anchor>
        </w:drawing>
      </w:r>
    </w:p>
    <w:p>
      <w:pPr>
        <w:pStyle w:val="Normal"/>
        <w:jc w:val="both"/>
        <w:rPr>
          <w:rFonts w:ascii="Times New Roman" w:hAnsi="Times New Roman" w:eastAsia="TimesNewRomanPS-BoldMT" w:cs="Times New Roman"/>
          <w:b/>
          <w:b/>
          <w:bCs/>
          <w:color w:val="00000A"/>
          <w:sz w:val="22"/>
          <w:szCs w:val="22"/>
          <w:lang w:eastAsia="en-US"/>
        </w:rPr>
      </w:pPr>
      <w:r>
        <w:rPr>
          <w:rFonts w:eastAsia="TimesNewRomanPS-BoldMT" w:cs="Times New Roman"/>
          <w:b/>
          <w:bCs/>
          <w:color w:val="00000A"/>
          <w:sz w:val="22"/>
          <w:szCs w:val="22"/>
          <w:lang w:eastAsia="en-US"/>
        </w:rPr>
      </w:r>
    </w:p>
    <w:p>
      <w:pPr>
        <w:pStyle w:val="Normal"/>
        <w:jc w:val="both"/>
        <w:rPr>
          <w:rFonts w:ascii="Times New Roman" w:hAnsi="Times New Roman" w:eastAsia="TimesNewRomanPS-BoldMT" w:cs="Times New Roman"/>
          <w:b/>
          <w:b/>
          <w:bCs/>
          <w:color w:val="00000A"/>
          <w:sz w:val="22"/>
          <w:szCs w:val="22"/>
          <w:lang w:eastAsia="en-US"/>
        </w:rPr>
      </w:pPr>
      <w:r>
        <w:rPr>
          <w:rFonts w:eastAsia="TimesNewRomanPS-BoldMT" w:cs="Times New Roman"/>
          <w:b/>
          <w:bCs/>
          <w:color w:val="00000A"/>
          <w:sz w:val="22"/>
          <w:szCs w:val="22"/>
          <w:lang w:eastAsia="en-US"/>
        </w:rPr>
      </w:r>
    </w:p>
    <w:p>
      <w:pPr>
        <w:pStyle w:val="Normal"/>
        <w:spacing w:lineRule="auto" w:line="360"/>
        <w:jc w:val="both"/>
        <w:rPr>
          <w:rFonts w:ascii="Times New Roman" w:hAnsi="Times New Roman" w:eastAsia="TimesNewRomanPS-BoldMT" w:cs="Times New Roman"/>
          <w:b/>
          <w:b/>
          <w:bCs/>
          <w:color w:val="000000"/>
          <w:sz w:val="24"/>
          <w:szCs w:val="24"/>
          <w:lang w:eastAsia="en-US"/>
        </w:rPr>
      </w:pPr>
      <w:r>
        <w:rPr>
          <w:rFonts w:eastAsia="TimesNewRomanPS-BoldMT" w:cs="Times New Roman"/>
          <w:b/>
          <w:bCs/>
          <w:color w:val="000000"/>
          <w:sz w:val="24"/>
          <w:szCs w:val="24"/>
          <w:lang w:eastAsia="en-US"/>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rFonts w:ascii="Times New Roman" w:hAnsi="Times New Roman" w:cs="Times New Roman"/>
          <w:b/>
          <w:b/>
          <w:bCs/>
          <w:color w:val="000000"/>
          <w:sz w:val="24"/>
          <w:szCs w:val="24"/>
        </w:rPr>
      </w:pPr>
      <w:r>
        <w:rPr>
          <w:rFonts w:cs="Times New Roman"/>
          <w:b/>
          <w:bCs/>
          <w:color w:val="000000"/>
          <w:sz w:val="24"/>
          <w:szCs w:val="24"/>
        </w:rPr>
      </w:r>
    </w:p>
    <w:p>
      <w:pPr>
        <w:pStyle w:val="Normal"/>
        <w:spacing w:lineRule="auto" w:line="360"/>
        <w:jc w:val="both"/>
        <w:rPr/>
      </w:pPr>
      <w:r>
        <w:rPr>
          <w:rFonts w:cs="Times New Roman"/>
          <w:b/>
          <w:bCs/>
          <w:color w:val="000000"/>
          <w:sz w:val="24"/>
          <w:szCs w:val="24"/>
        </w:rPr>
        <w:t>7) CONCLUSÕES DA CORREGEDORIA-GERAL</w:t>
      </w:r>
    </w:p>
    <w:p>
      <w:pPr>
        <w:pStyle w:val="Normal"/>
        <w:jc w:val="both"/>
        <w:rPr>
          <w:rFonts w:ascii="Times New Roman" w:hAnsi="Times New Roman" w:cs="Times New Roman"/>
          <w:b w:val="false"/>
          <w:b w:val="false"/>
          <w:bCs w:val="false"/>
          <w:color w:val="000000"/>
          <w:sz w:val="24"/>
          <w:szCs w:val="24"/>
        </w:rPr>
      </w:pPr>
      <w:r>
        <w:rPr>
          <w:rFonts w:cs="Times New Roman"/>
          <w:b w:val="false"/>
          <w:bCs w:val="false"/>
          <w:color w:val="000000"/>
          <w:sz w:val="24"/>
          <w:szCs w:val="24"/>
        </w:rPr>
      </w:r>
    </w:p>
    <w:p>
      <w:pPr>
        <w:pStyle w:val="Normal"/>
        <w:spacing w:lineRule="auto" w:line="360"/>
        <w:ind w:left="15" w:right="0" w:hanging="0"/>
        <w:jc w:val="both"/>
        <w:rPr>
          <w:rFonts w:ascii="Times New Roman" w:hAnsi="Times New Roman" w:eastAsia="Lucida Sans Unicode" w:cs="Times New Roman"/>
          <w:color w:val="000000"/>
          <w:sz w:val="24"/>
          <w:szCs w:val="24"/>
          <w:lang w:val="pt-BR" w:eastAsia="zxx" w:bidi="ar-SA"/>
        </w:rPr>
      </w:pPr>
      <w:r>
        <w:rPr>
          <w:rFonts w:eastAsia="Lucida Sans Unicode" w:cs="Times New Roman"/>
          <w:color w:val="000000"/>
          <w:sz w:val="24"/>
          <w:szCs w:val="24"/>
          <w:lang w:val="pt-BR" w:eastAsia="zxx" w:bidi="ar-SA"/>
        </w:rPr>
        <w:tab/>
        <w:t xml:space="preserve">Os Centros de Apoio Operacional do Ministério Público de Sergipe foram criados através da Resolução CPJ nº 007/2011, como órgãos auxiliares da atividade funcional do Ministério Público, exercendo atribuições em todo o Estado, sendo coordenados e supervisionados pela Coordenadoria-Geral. </w:t>
      </w:r>
    </w:p>
    <w:p>
      <w:pPr>
        <w:pStyle w:val="Normal"/>
        <w:spacing w:lineRule="auto" w:line="360"/>
        <w:ind w:left="15" w:right="0" w:hanging="0"/>
        <w:jc w:val="both"/>
        <w:rPr/>
      </w:pPr>
      <w:r>
        <w:rPr>
          <w:rFonts w:eastAsia="Lucida Sans Unicode" w:cs="Times New Roman"/>
          <w:color w:val="000000"/>
          <w:sz w:val="24"/>
          <w:szCs w:val="24"/>
          <w:lang w:val="pt-BR" w:eastAsia="zxx" w:bidi="ar-SA"/>
        </w:rPr>
        <w:tab/>
        <w:t>Não é atribuição dos Centros de Apoio Operacional o exercício de atividades de órgão de execução nem de expedição de atos normativos, podendo, todavia, propor, em conjunto com os órgãos locais de execução, por solicitação destes, as medidas cabíveis, cíveis ou criminais, judiciais ou administrativas, principais, acessórias ou cautelares.</w:t>
      </w:r>
    </w:p>
    <w:p>
      <w:pPr>
        <w:pStyle w:val="Normal"/>
        <w:spacing w:lineRule="auto" w:line="360"/>
        <w:ind w:left="15" w:right="0" w:hanging="0"/>
        <w:jc w:val="both"/>
        <w:rPr/>
      </w:pPr>
      <w:r>
        <w:rPr>
          <w:rStyle w:val="LinkdaInternet"/>
          <w:rFonts w:eastAsia="Lucida Sans Unicode" w:cs="Times New Roman"/>
          <w:b w:val="false"/>
          <w:bCs w:val="false"/>
          <w:i w:val="false"/>
          <w:iCs w:val="false"/>
          <w:color w:val="000000"/>
          <w:sz w:val="24"/>
          <w:szCs w:val="24"/>
          <w:u w:val="none"/>
          <w:lang w:val="pt-BR" w:eastAsia="zxx" w:bidi="ar-SA"/>
        </w:rPr>
        <w:tab/>
        <w:t>Compete, primordialmente, aos CAOP's estimular a integração e intercâmbio entre órgãos de execução que atuem na mesma área e que tenham atribuições comuns, inclusive para efeito de atuação conjunta.</w:t>
      </w:r>
    </w:p>
    <w:p>
      <w:pPr>
        <w:pStyle w:val="Normal"/>
        <w:bidi w:val="0"/>
        <w:spacing w:lineRule="auto" w:line="360"/>
        <w:ind w:left="17" w:right="0" w:hanging="0"/>
        <w:jc w:val="both"/>
        <w:rPr/>
      </w:pPr>
      <w:r>
        <w:rPr>
          <w:rStyle w:val="LinkdaInternet"/>
          <w:rFonts w:eastAsia="Lucida Sans Unicode" w:cs="Times New Roman"/>
          <w:b w:val="false"/>
          <w:bCs w:val="false"/>
          <w:i w:val="false"/>
          <w:iCs w:val="false"/>
          <w:color w:val="00000A"/>
          <w:sz w:val="24"/>
          <w:szCs w:val="24"/>
          <w:u w:val="none"/>
          <w:lang w:val="pt-BR" w:eastAsia="zxx" w:bidi="ar-SA"/>
        </w:rPr>
        <w:tab/>
        <w:t>Verificou-se que o Centro de Apoio Operacional de Proteção ao Rios São Francisco e às Nascentes</w:t>
      </w:r>
      <w:r>
        <w:rPr>
          <w:rFonts w:cs="Times New Roman"/>
          <w:sz w:val="24"/>
          <w:szCs w:val="24"/>
        </w:rPr>
        <w:t xml:space="preserve"> </w:t>
      </w:r>
      <w:r>
        <w:rPr>
          <w:rStyle w:val="LinkdaInternet"/>
          <w:rFonts w:eastAsia="Lucida Sans Unicode" w:cs="Times New Roman"/>
          <w:b w:val="false"/>
          <w:bCs w:val="false"/>
          <w:i w:val="false"/>
          <w:iCs w:val="false"/>
          <w:color w:val="00000A"/>
          <w:sz w:val="24"/>
          <w:szCs w:val="24"/>
          <w:u w:val="none"/>
          <w:lang w:val="pt-BR" w:eastAsia="zxx" w:bidi="ar-SA"/>
        </w:rPr>
        <w:t>estava atuando de forma proativa, sendo informado pela Diretora os diversos Projetos desenvolvidos.</w:t>
      </w:r>
    </w:p>
    <w:p>
      <w:pPr>
        <w:pStyle w:val="Normal"/>
        <w:bidi w:val="0"/>
        <w:spacing w:lineRule="auto" w:line="360"/>
        <w:ind w:left="17" w:right="0" w:hanging="0"/>
        <w:jc w:val="both"/>
        <w:rPr/>
      </w:pPr>
      <w:r>
        <w:rPr>
          <w:rStyle w:val="LinkdaInternet"/>
          <w:rFonts w:eastAsia="Lucida Sans Unicode" w:cs="Times New Roman"/>
          <w:b w:val="false"/>
          <w:bCs w:val="false"/>
          <w:i w:val="false"/>
          <w:iCs w:val="false"/>
          <w:color w:val="00000A"/>
          <w:sz w:val="24"/>
          <w:szCs w:val="24"/>
          <w:u w:val="none"/>
          <w:lang w:val="pt-BR" w:eastAsia="zxx" w:bidi="ar-SA"/>
        </w:rPr>
        <w:tab/>
      </w:r>
      <w:r>
        <w:rPr>
          <w:rStyle w:val="LinkdaInternet"/>
          <w:rFonts w:eastAsia="Lucida Sans Unicode" w:cs="Times New Roman"/>
          <w:b w:val="false"/>
          <w:bCs w:val="false"/>
          <w:i w:val="false"/>
          <w:iCs w:val="false"/>
          <w:color w:val="00000A"/>
          <w:sz w:val="24"/>
          <w:szCs w:val="24"/>
          <w:u w:val="none"/>
          <w:lang w:val="pt-BR" w:eastAsia="ar-SA" w:bidi="ar-SA"/>
        </w:rPr>
        <w:t xml:space="preserve">Diante do que ficou registrado na presente Correição Ordinária, a Corregedoria Recomenda </w:t>
      </w:r>
      <w:r>
        <w:rPr>
          <w:rStyle w:val="LinkdaInternet"/>
          <w:rFonts w:eastAsia="Lucida Sans Unicode" w:cs="Times New Roman"/>
          <w:b w:val="false"/>
          <w:bCs w:val="false"/>
          <w:i w:val="false"/>
          <w:iCs w:val="false"/>
          <w:color w:val="00000A"/>
          <w:sz w:val="24"/>
          <w:szCs w:val="24"/>
          <w:u w:val="none"/>
          <w:lang w:val="pt-BR" w:eastAsia="zxx" w:bidi="ar-SA"/>
        </w:rPr>
        <w:t>que sejam registrados, em livro próprio, os atendimentos realizados ao público externo (partes/advogados/comunidades), nos termos do art. 42, II, k, do Regimento Interno da Corregedoria-Geral (Resolução CPJ nº 005/2014).</w:t>
      </w:r>
    </w:p>
    <w:p>
      <w:pPr>
        <w:pStyle w:val="Normal"/>
        <w:bidi w:val="0"/>
        <w:spacing w:lineRule="auto" w:line="360"/>
        <w:ind w:left="17" w:right="0" w:hanging="0"/>
        <w:jc w:val="both"/>
        <w:rPr>
          <w:rStyle w:val="LinkdaInternet"/>
          <w:rFonts w:eastAsia="Lucida Sans Unicode" w:cs="Times New Roman"/>
          <w:b w:val="false"/>
          <w:b w:val="false"/>
          <w:bCs w:val="false"/>
          <w:i w:val="false"/>
          <w:i w:val="false"/>
          <w:iCs w:val="false"/>
          <w:color w:val="00000A"/>
          <w:sz w:val="24"/>
          <w:szCs w:val="24"/>
          <w:u w:val="none"/>
          <w:lang w:val="pt-BR" w:eastAsia="zxx" w:bidi="ar-SA"/>
        </w:rPr>
      </w:pPr>
      <w:r>
        <w:rPr>
          <w:rFonts w:eastAsia="Lucida Sans Unicode" w:cs="Times New Roman"/>
          <w:b w:val="false"/>
          <w:bCs w:val="false"/>
          <w:i w:val="false"/>
          <w:iCs w:val="false"/>
          <w:color w:val="00000A"/>
          <w:sz w:val="24"/>
          <w:szCs w:val="24"/>
          <w:u w:val="none"/>
          <w:lang w:val="pt-BR" w:eastAsia="zxx" w:bidi="ar-SA"/>
        </w:rPr>
      </w:r>
    </w:p>
    <w:p>
      <w:pPr>
        <w:pStyle w:val="Normal"/>
        <w:widowControl w:val="false"/>
        <w:suppressLineNumbers/>
        <w:suppressAutoHyphens w:val="true"/>
        <w:bidi w:val="0"/>
        <w:spacing w:lineRule="auto" w:line="360"/>
        <w:ind w:left="15" w:right="0" w:hanging="0"/>
        <w:jc w:val="center"/>
        <w:rPr/>
      </w:pPr>
      <w:r>
        <w:rPr>
          <w:rStyle w:val="LinkdaInternet"/>
          <w:rFonts w:eastAsia="Lucida Sans Unicode" w:cs="Times New Roman"/>
          <w:b/>
          <w:bCs/>
          <w:i w:val="false"/>
          <w:iCs w:val="false"/>
          <w:color w:val="00000A"/>
          <w:sz w:val="24"/>
          <w:szCs w:val="24"/>
          <w:u w:val="none"/>
          <w:lang w:val="pt-BR" w:eastAsia="zxx" w:bidi="ar-SA"/>
        </w:rPr>
        <w:t>CONCEITO – Art. 74 – Resolução nº 005/2014 – CPJ</w:t>
      </w:r>
    </w:p>
    <w:p>
      <w:pPr>
        <w:pStyle w:val="Normal"/>
        <w:jc w:val="center"/>
        <w:rPr>
          <w:rFonts w:ascii="Times New Roman" w:hAnsi="Times New Roman" w:cs="Times New Roman"/>
          <w:b/>
          <w:b/>
          <w:bCs/>
          <w:color w:val="00000A"/>
          <w:sz w:val="24"/>
          <w:szCs w:val="24"/>
        </w:rPr>
      </w:pPr>
      <w:r>
        <w:rPr>
          <w:rFonts w:cs="Times New Roman"/>
          <w:b/>
          <w:bCs/>
          <w:color w:val="00000A"/>
          <w:sz w:val="24"/>
          <w:szCs w:val="24"/>
        </w:rPr>
      </w:r>
    </w:p>
    <w:p>
      <w:pPr>
        <w:pStyle w:val="Normal"/>
        <w:jc w:val="both"/>
        <w:rPr>
          <w:rFonts w:ascii="Times New Roman" w:hAnsi="Times New Roman" w:cs="Times New Roman"/>
          <w:b/>
          <w:b/>
          <w:bCs/>
          <w:color w:val="00000A"/>
          <w:sz w:val="24"/>
          <w:szCs w:val="24"/>
        </w:rPr>
      </w:pPr>
      <w:r>
        <w:rPr>
          <w:rFonts w:cs="Times New Roman"/>
          <w:b/>
          <w:bCs/>
          <w:color w:val="00000A"/>
          <w:sz w:val="24"/>
          <w:szCs w:val="24"/>
        </w:rPr>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1. Forma e qualidade de redação das peças processuais analisadas: Não se aplica</w:t>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2. Desempenho Atividade Judicial: Não se aplica</w:t>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3. Desempenho Atividade Extrajudicial: Não se aplica</w:t>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4. Desempenho Utilização dos Sistemas: Não se aplica</w:t>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ascii="Times New Roman" w:hAnsi="Times New Roman"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5. Avaliação Qualitativa: ÓTIMO</w:t>
      </w:r>
    </w:p>
    <w:p>
      <w:pPr>
        <w:pStyle w:val="Normal"/>
        <w:jc w:val="both"/>
        <w:rPr>
          <w:rFonts w:ascii="Times New Roman" w:hAnsi="Times New Roman" w:eastAsia="Lucida Sans Unicode" w:cs="Times New Roman"/>
          <w:b/>
          <w:b/>
          <w:bCs/>
          <w:color w:val="00000A"/>
          <w:sz w:val="24"/>
          <w:szCs w:val="24"/>
          <w:lang w:val="pt-BR" w:eastAsia="zxx" w:bidi="zxx"/>
        </w:rPr>
      </w:pPr>
      <w:r>
        <w:rPr>
          <w:rFonts w:eastAsia="Lucida Sans Unicode" w:cs="Times New Roman"/>
          <w:b/>
          <w:bCs/>
          <w:color w:val="00000A"/>
          <w:sz w:val="24"/>
          <w:szCs w:val="24"/>
          <w:lang w:val="pt-BR" w:eastAsia="zxx" w:bidi="zxx"/>
        </w:rPr>
      </w:r>
    </w:p>
    <w:p>
      <w:pPr>
        <w:pStyle w:val="Normal"/>
        <w:jc w:val="center"/>
        <w:rPr>
          <w:rFonts w:ascii="Times New Roman" w:hAnsi="Times New Roman" w:eastAsia="Lucida Sans Unicode" w:cs="Times New Roman"/>
          <w:b/>
          <w:b/>
          <w:bCs/>
          <w:color w:val="00000A"/>
          <w:sz w:val="24"/>
          <w:szCs w:val="24"/>
          <w:lang w:val="pt-BR" w:eastAsia="zxx" w:bidi="zxx"/>
        </w:rPr>
      </w:pPr>
      <w:r>
        <w:rPr>
          <w:rFonts w:eastAsia="Lucida Sans Unicode" w:cs="Times New Roman"/>
          <w:b/>
          <w:bCs/>
          <w:color w:val="00000A"/>
          <w:sz w:val="24"/>
          <w:szCs w:val="24"/>
          <w:lang w:val="pt-BR" w:eastAsia="zxx" w:bidi="zxx"/>
        </w:rPr>
        <w:t>CONCEITO GERAL: ÓTIMO</w:t>
      </w:r>
    </w:p>
    <w:p>
      <w:pPr>
        <w:pStyle w:val="Normal"/>
        <w:jc w:val="both"/>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jc w:val="center"/>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jc w:val="center"/>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jc w:val="center"/>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jc w:val="center"/>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widowControl w:val="false"/>
        <w:suppressLineNumbers/>
        <w:suppressAutoHyphens w:val="true"/>
        <w:bidi w:val="0"/>
        <w:spacing w:lineRule="auto" w:line="360"/>
        <w:ind w:left="15" w:right="0" w:hanging="0"/>
        <w:jc w:val="both"/>
        <w:rPr/>
      </w:pPr>
      <w:r>
        <w:rPr>
          <w:rStyle w:val="LinkdaInternet"/>
          <w:rFonts w:eastAsia="Lucida Sans Unicode" w:cs="Times New Roman"/>
          <w:b w:val="false"/>
          <w:bCs w:val="false"/>
          <w:i w:val="false"/>
          <w:iCs w:val="false"/>
          <w:color w:val="00000A"/>
          <w:sz w:val="24"/>
          <w:szCs w:val="24"/>
          <w:u w:val="none"/>
          <w:lang w:val="pt-BR" w:eastAsia="zxx" w:bidi="ar-SA"/>
        </w:rPr>
        <w:tab/>
        <w:t xml:space="preserve">Pelo exposto, determino o encaminhamento de cópia deste relatório para conhecimento do(a) Promotor(a) de Justiça interessado(a), para, querendo, manifestar-se sobre seu teor, no prazo de 10 (dez) dias e, após, encaminhe-se, para conhecimento, ao Egrégio Conselho Superior do Ministério Público, </w:t>
      </w:r>
      <w:r>
        <w:rPr>
          <w:rStyle w:val="LinkdaInternet"/>
          <w:rFonts w:eastAsia="Lucida Sans Unicode" w:cs="Times New Roman"/>
          <w:b w:val="false"/>
          <w:bCs w:val="false"/>
          <w:i w:val="false"/>
          <w:iCs w:val="false"/>
          <w:color w:val="00000A"/>
          <w:sz w:val="24"/>
          <w:szCs w:val="24"/>
          <w:u w:val="none"/>
          <w:lang w:val="pt-BR" w:eastAsia="zxx" w:bidi="zxx"/>
        </w:rPr>
        <w:t>nos termos do art. 126 da Lei Complementar Estadual 02/90, do art. 5º, § 2º, da Resolução nº. 149 – CNMP, arts. 10, XI e 85 do Regimento Interno do Conselho Superior do Ministério Público de Sergipe, e art. 64 do Regimento Interno da Corregedoria-Geral.</w:t>
      </w:r>
    </w:p>
    <w:p>
      <w:pPr>
        <w:pStyle w:val="Normal"/>
        <w:spacing w:lineRule="auto" w:line="360"/>
        <w:ind w:left="0" w:right="0" w:hanging="0"/>
        <w:jc w:val="both"/>
        <w:rPr/>
      </w:pPr>
      <w:r>
        <w:rPr/>
      </w:r>
    </w:p>
    <w:p>
      <w:pPr>
        <w:pStyle w:val="Normal"/>
        <w:spacing w:lineRule="auto" w:line="360"/>
        <w:ind w:left="0" w:right="0" w:hanging="0"/>
        <w:jc w:val="both"/>
        <w:rPr/>
      </w:pPr>
      <w:r>
        <w:rPr>
          <w:rStyle w:val="LinkdaInternet"/>
          <w:rFonts w:eastAsia="Lucida Sans Unicode" w:cs="Times New Roman"/>
          <w:b w:val="false"/>
          <w:bCs w:val="false"/>
          <w:i w:val="false"/>
          <w:iCs w:val="false"/>
          <w:color w:val="00000A"/>
          <w:sz w:val="24"/>
          <w:szCs w:val="24"/>
          <w:u w:val="none"/>
          <w:lang w:val="pt-BR" w:eastAsia="zxx" w:bidi="zxx"/>
        </w:rPr>
        <w:tab/>
      </w:r>
      <w:r>
        <w:rPr>
          <w:rFonts w:cs="Times New Roman"/>
        </w:rPr>
        <w:t>Ressalta-se, por fim, que os trabalhos correcionais verificam a situação da unidade ministerial num determinado momento, e</w:t>
      </w:r>
      <w:r>
        <w:rPr>
          <w:rFonts w:cs="Times New Roman"/>
          <w:lang w:bidi="zxx"/>
        </w:rPr>
        <w:t xml:space="preserve"> que, mesmo após a Correição, os Promotores de Justiça devem manter os serviços da unidade em dia e organizados.</w:t>
      </w:r>
    </w:p>
    <w:p>
      <w:pPr>
        <w:pStyle w:val="Normal"/>
        <w:spacing w:lineRule="auto" w:line="360"/>
        <w:ind w:left="15" w:right="0" w:firstLine="1695"/>
        <w:jc w:val="both"/>
        <w:rPr>
          <w:rFonts w:ascii="Times New Roman" w:hAnsi="Times New Roman" w:cs="Times New Roman"/>
        </w:rPr>
      </w:pPr>
      <w:r>
        <w:rPr>
          <w:rFonts w:cs="Times New Roman"/>
        </w:rPr>
      </w:r>
    </w:p>
    <w:p>
      <w:pPr>
        <w:pStyle w:val="Normal"/>
        <w:widowControl w:val="false"/>
        <w:suppressLineNumbers/>
        <w:suppressAutoHyphens w:val="true"/>
        <w:bidi w:val="0"/>
        <w:spacing w:lineRule="auto" w:line="360"/>
        <w:ind w:left="0" w:right="0" w:hanging="0"/>
        <w:jc w:val="both"/>
        <w:rPr/>
      </w:pPr>
      <w:r>
        <w:rPr>
          <w:rStyle w:val="LinkdaInternet"/>
          <w:rFonts w:eastAsia="Lucida Sans Unicode" w:cs="Times New Roman"/>
          <w:b w:val="false"/>
          <w:bCs w:val="false"/>
          <w:i w:val="false"/>
          <w:iCs w:val="false"/>
          <w:color w:val="00000A"/>
          <w:sz w:val="24"/>
          <w:szCs w:val="24"/>
          <w:u w:val="none"/>
          <w:lang w:val="pt-BR" w:eastAsia="zxx" w:bidi="zxx"/>
        </w:rPr>
        <w:tab/>
        <w:t>Considerando que não foram observadas pendências durante a correição</w:t>
      </w:r>
      <w:r>
        <w:rPr>
          <w:rStyle w:val="LinkdaInternet"/>
          <w:rFonts w:eastAsia="Times New Roman" w:cs="Times New Roman"/>
          <w:b w:val="false"/>
          <w:bCs w:val="false"/>
          <w:i w:val="false"/>
          <w:iCs w:val="false"/>
          <w:color w:val="00000A"/>
          <w:sz w:val="24"/>
          <w:szCs w:val="24"/>
          <w:u w:val="none"/>
          <w:lang w:val="pt-BR" w:eastAsia="zh-CN" w:bidi="zxx"/>
        </w:rPr>
        <w:t xml:space="preserve">, </w:t>
      </w:r>
      <w:r>
        <w:rPr>
          <w:rStyle w:val="LinkdaInternet"/>
          <w:rFonts w:eastAsia="Lucida Sans Unicode" w:cs="Times New Roman"/>
          <w:b w:val="false"/>
          <w:bCs w:val="false"/>
          <w:i w:val="false"/>
          <w:iCs w:val="false"/>
          <w:color w:val="00000A"/>
          <w:sz w:val="24"/>
          <w:szCs w:val="24"/>
          <w:u w:val="none"/>
          <w:lang w:val="pt-BR" w:eastAsia="zxx" w:bidi="zxx"/>
        </w:rPr>
        <w:t>passado o prazo de resposta da Promotora ao relatório final e após a apreciação pelo CSMP, arquive-se.</w:t>
      </w:r>
    </w:p>
    <w:p>
      <w:pPr>
        <w:pStyle w:val="Normal"/>
        <w:spacing w:lineRule="auto" w:line="360"/>
        <w:ind w:left="15" w:right="0" w:hanging="0"/>
        <w:jc w:val="center"/>
        <w:rPr/>
      </w:pPr>
      <w:r>
        <w:rPr/>
      </w:r>
    </w:p>
    <w:p>
      <w:pPr>
        <w:pStyle w:val="Contedodetabela"/>
        <w:widowControl w:val="false"/>
        <w:suppressLineNumbers/>
        <w:suppressAutoHyphens w:val="true"/>
        <w:bidi w:val="0"/>
        <w:spacing w:lineRule="auto" w:line="360"/>
        <w:jc w:val="both"/>
        <w:rPr/>
      </w:pPr>
      <w:r>
        <w:rPr/>
      </w:r>
    </w:p>
    <w:p>
      <w:pPr>
        <w:pStyle w:val="Normal"/>
        <w:jc w:val="center"/>
        <w:rPr>
          <w:rFonts w:ascii="Times New Roman" w:hAnsi="Times New Roman" w:eastAsia="TimesNewRomanPS-BoldMT" w:cs="Times New Roman"/>
          <w:b w:val="false"/>
          <w:b w:val="false"/>
          <w:bCs w:val="false"/>
          <w:i w:val="false"/>
          <w:i w:val="false"/>
          <w:iCs w:val="false"/>
          <w:color w:val="00000A"/>
          <w:sz w:val="24"/>
          <w:szCs w:val="24"/>
          <w:lang w:val="pt-BR" w:eastAsia="en-US" w:bidi="hi-IN"/>
        </w:rPr>
      </w:pPr>
      <w:r>
        <w:rPr>
          <w:rFonts w:eastAsia="TimesNewRomanPS-BoldMT" w:cs="Times New Roman"/>
          <w:b w:val="false"/>
          <w:bCs w:val="false"/>
          <w:i w:val="false"/>
          <w:iCs w:val="false"/>
          <w:color w:val="00000A"/>
          <w:sz w:val="24"/>
          <w:szCs w:val="24"/>
          <w:lang w:val="pt-BR" w:eastAsia="en-US" w:bidi="hi-IN"/>
        </w:rPr>
      </w:r>
    </w:p>
    <w:p>
      <w:pPr>
        <w:pStyle w:val="Normal"/>
        <w:jc w:val="center"/>
        <w:rPr/>
      </w:pPr>
      <w:r>
        <w:rPr>
          <w:rFonts w:eastAsia="TimesNewRomanPS-BoldMT" w:cs="Times New Roman"/>
          <w:b w:val="false"/>
          <w:bCs w:val="false"/>
          <w:i w:val="false"/>
          <w:iCs w:val="false"/>
          <w:color w:val="00000A"/>
          <w:sz w:val="24"/>
          <w:szCs w:val="24"/>
          <w:lang w:val="pt-BR" w:eastAsia="en-US" w:bidi="hi-IN"/>
        </w:rPr>
        <w:t>Aracaju, 02 de agosto de 2018</w:t>
      </w:r>
    </w:p>
    <w:p>
      <w:pPr>
        <w:pStyle w:val="Normal"/>
        <w:jc w:val="center"/>
        <w:rPr>
          <w:rFonts w:ascii="Times New Roman" w:hAnsi="Times New Roman" w:eastAsia="TimesNewRomanPS-BoldMT" w:cs="Times New Roman"/>
          <w:b w:val="false"/>
          <w:b w:val="false"/>
          <w:bCs w:val="false"/>
          <w:i w:val="false"/>
          <w:i w:val="false"/>
          <w:iCs w:val="false"/>
          <w:color w:val="00000A"/>
          <w:sz w:val="24"/>
          <w:szCs w:val="24"/>
          <w:lang w:val="pt-BR" w:eastAsia="en-US" w:bidi="hi-IN"/>
        </w:rPr>
      </w:pPr>
      <w:r>
        <w:rPr>
          <w:rFonts w:eastAsia="TimesNewRomanPS-BoldMT" w:cs="Times New Roman"/>
          <w:b w:val="false"/>
          <w:bCs w:val="false"/>
          <w:i w:val="false"/>
          <w:iCs w:val="false"/>
          <w:color w:val="00000A"/>
          <w:sz w:val="24"/>
          <w:szCs w:val="24"/>
          <w:lang w:val="pt-BR" w:eastAsia="en-US" w:bidi="hi-IN"/>
        </w:rPr>
      </w:r>
    </w:p>
    <w:p>
      <w:pPr>
        <w:pStyle w:val="Normal"/>
        <w:jc w:val="center"/>
        <w:rPr>
          <w:rFonts w:ascii="Times New Roman" w:hAnsi="Times New Roman" w:eastAsia="TimesNewRomanPS-BoldMT" w:cs="Times New Roman"/>
          <w:b/>
          <w:b/>
          <w:bCs/>
          <w:i w:val="false"/>
          <w:i w:val="false"/>
          <w:iCs w:val="false"/>
          <w:color w:val="00000A"/>
          <w:sz w:val="24"/>
          <w:szCs w:val="24"/>
          <w:lang w:val="pt-BR" w:eastAsia="en-US" w:bidi="hi-IN"/>
        </w:rPr>
      </w:pPr>
      <w:r>
        <w:rPr>
          <w:rFonts w:eastAsia="TimesNewRomanPS-BoldMT" w:cs="Times New Roman"/>
          <w:b/>
          <w:bCs/>
          <w:i w:val="false"/>
          <w:iCs w:val="false"/>
          <w:color w:val="00000A"/>
          <w:sz w:val="24"/>
          <w:szCs w:val="24"/>
          <w:lang w:val="pt-BR" w:eastAsia="en-US" w:bidi="hi-IN"/>
        </w:rPr>
      </w:r>
    </w:p>
    <w:p>
      <w:pPr>
        <w:pStyle w:val="Normal"/>
        <w:jc w:val="center"/>
        <w:rPr>
          <w:rFonts w:ascii="Times New Roman" w:hAnsi="Times New Roman" w:eastAsia="TimesNewRomanPS-BoldMT" w:cs="Times New Roman"/>
          <w:b/>
          <w:b/>
          <w:bCs/>
          <w:i w:val="false"/>
          <w:i w:val="false"/>
          <w:iCs w:val="false"/>
          <w:color w:val="00000A"/>
          <w:sz w:val="24"/>
          <w:szCs w:val="24"/>
          <w:lang w:val="pt-BR" w:eastAsia="en-US" w:bidi="hi-IN"/>
        </w:rPr>
      </w:pPr>
      <w:r>
        <w:rPr>
          <w:rFonts w:eastAsia="TimesNewRomanPS-BoldMT" w:cs="Times New Roman"/>
          <w:b/>
          <w:bCs/>
          <w:i w:val="false"/>
          <w:iCs w:val="false"/>
          <w:color w:val="00000A"/>
          <w:sz w:val="24"/>
          <w:szCs w:val="24"/>
          <w:lang w:val="pt-BR" w:eastAsia="en-US" w:bidi="hi-IN"/>
        </w:rPr>
        <w:t>Luiz Valter Ribeiro Rosário</w:t>
      </w:r>
    </w:p>
    <w:p>
      <w:pPr>
        <w:pStyle w:val="Normal"/>
        <w:suppressLineNumbers/>
        <w:spacing w:lineRule="auto" w:line="360"/>
        <w:ind w:left="15" w:right="0" w:hanging="0"/>
        <w:jc w:val="center"/>
        <w:rPr>
          <w:rFonts w:ascii="Times New Roman" w:hAnsi="Times New Roman" w:eastAsia="TimesNewRomanPS-BoldMT" w:cs="Times New Roman"/>
          <w:b/>
          <w:b/>
          <w:bCs/>
          <w:i w:val="false"/>
          <w:i w:val="false"/>
          <w:iCs w:val="false"/>
          <w:color w:val="00000A"/>
          <w:sz w:val="24"/>
          <w:szCs w:val="24"/>
          <w:lang w:val="pt-BR" w:eastAsia="en-US" w:bidi="hi-IN"/>
        </w:rPr>
      </w:pPr>
      <w:r>
        <w:rPr>
          <w:rFonts w:eastAsia="TimesNewRomanPS-BoldMT" w:cs="Times New Roman"/>
          <w:b/>
          <w:bCs/>
          <w:i w:val="false"/>
          <w:iCs w:val="false"/>
          <w:color w:val="00000A"/>
          <w:sz w:val="24"/>
          <w:szCs w:val="24"/>
          <w:lang w:val="pt-BR" w:eastAsia="en-US" w:bidi="hi-IN"/>
        </w:rPr>
        <w:t>Corregedor-Geral do Ministério Público em exercício</w:t>
      </w:r>
    </w:p>
    <w:p>
      <w:pPr>
        <w:pStyle w:val="Normal"/>
        <w:bidi w:val="0"/>
        <w:spacing w:lineRule="auto" w:line="360"/>
        <w:ind w:left="17" w:right="0" w:hanging="0"/>
        <w:jc w:val="center"/>
        <w:rPr>
          <w:rStyle w:val="LinkdaInternet"/>
          <w:rFonts w:ascii="Times New Roman" w:hAnsi="Times New Roman" w:eastAsia="Lucida Sans Unicode" w:cs="Times New Roman"/>
          <w:b w:val="false"/>
          <w:b w:val="false"/>
          <w:bCs w:val="false"/>
          <w:i/>
          <w:i/>
          <w:iCs w:val="false"/>
          <w:color w:val="00000A"/>
          <w:sz w:val="22"/>
          <w:szCs w:val="22"/>
          <w:u w:val="none"/>
          <w:lang w:val="pt-BR" w:eastAsia="zxx" w:bidi="ar-SA"/>
        </w:rPr>
      </w:pPr>
      <w:r>
        <w:rPr>
          <w:rFonts w:eastAsia="Lucida Sans Unicode" w:cs="Times New Roman"/>
          <w:b w:val="false"/>
          <w:bCs w:val="false"/>
          <w:i/>
          <w:iCs w:val="false"/>
          <w:color w:val="00000A"/>
          <w:sz w:val="22"/>
          <w:szCs w:val="22"/>
          <w:u w:val="none"/>
          <w:lang w:val="pt-BR" w:eastAsia="zxx" w:bidi="ar-SA"/>
        </w:rPr>
      </w:r>
    </w:p>
    <w:p>
      <w:pPr>
        <w:pStyle w:val="Normal"/>
        <w:bidi w:val="0"/>
        <w:spacing w:lineRule="auto" w:line="360"/>
        <w:ind w:left="17" w:right="0" w:hanging="0"/>
        <w:jc w:val="both"/>
        <w:rPr>
          <w:rStyle w:val="LinkdaInternet"/>
          <w:rFonts w:eastAsia="Lucida Sans Unicode" w:cs="Times New Roman"/>
          <w:b w:val="false"/>
          <w:b w:val="false"/>
          <w:bCs w:val="false"/>
          <w:i w:val="false"/>
          <w:i w:val="false"/>
          <w:iCs w:val="false"/>
          <w:color w:val="00000A"/>
          <w:sz w:val="24"/>
          <w:szCs w:val="24"/>
          <w:u w:val="none"/>
          <w:lang w:val="pt-BR" w:eastAsia="zxx" w:bidi="ar-SA"/>
        </w:rPr>
      </w:pPr>
      <w:r>
        <w:rPr>
          <w:rFonts w:eastAsia="Lucida Sans Unicode" w:cs="Times New Roman"/>
          <w:b w:val="false"/>
          <w:bCs w:val="false"/>
          <w:i w:val="false"/>
          <w:iCs w:val="false"/>
          <w:color w:val="00000A"/>
          <w:sz w:val="24"/>
          <w:szCs w:val="24"/>
          <w:u w:val="none"/>
          <w:lang w:val="pt-BR" w:eastAsia="zxx" w:bidi="ar-SA"/>
        </w:rPr>
      </w:r>
    </w:p>
    <w:p>
      <w:pPr>
        <w:pStyle w:val="Normal"/>
        <w:bidi w:val="0"/>
        <w:spacing w:lineRule="auto" w:line="360"/>
        <w:ind w:left="17" w:right="0" w:hanging="0"/>
        <w:jc w:val="both"/>
        <w:rPr>
          <w:rStyle w:val="LinkdaInternet"/>
          <w:rFonts w:eastAsia="Lucida Sans Unicode" w:cs="Times New Roman"/>
          <w:b w:val="false"/>
          <w:b w:val="false"/>
          <w:bCs w:val="false"/>
          <w:i w:val="false"/>
          <w:i w:val="false"/>
          <w:iCs w:val="false"/>
          <w:color w:val="00000A"/>
          <w:sz w:val="24"/>
          <w:szCs w:val="24"/>
          <w:u w:val="none"/>
          <w:lang w:val="pt-BR" w:eastAsia="zxx" w:bidi="ar-SA"/>
        </w:rPr>
      </w:pPr>
      <w:r>
        <w:rPr>
          <w:rFonts w:eastAsia="Lucida Sans Unicode" w:cs="Times New Roman"/>
          <w:b w:val="false"/>
          <w:bCs w:val="false"/>
          <w:i w:val="false"/>
          <w:iCs w:val="false"/>
          <w:color w:val="00000A"/>
          <w:sz w:val="24"/>
          <w:szCs w:val="24"/>
          <w:u w:val="none"/>
          <w:lang w:val="pt-BR" w:eastAsia="zxx" w:bidi="ar-SA"/>
        </w:rPr>
      </w:r>
    </w:p>
    <w:p>
      <w:pPr>
        <w:pStyle w:val="Normal"/>
        <w:spacing w:lineRule="auto" w:line="360"/>
        <w:ind w:left="15" w:right="0" w:hanging="0"/>
        <w:jc w:val="both"/>
        <w:rPr/>
      </w:pPr>
      <w:r>
        <w:rPr>
          <w:rFonts w:cs="Times New Roman"/>
        </w:rPr>
        <w:tab/>
      </w:r>
    </w:p>
    <w:sectPr>
      <w:footerReference w:type="default" r:id="rId6"/>
      <w:footnotePr>
        <w:numFmt w:val="decimal"/>
      </w:footnotePr>
      <w:type w:val="nextPage"/>
      <w:pgSz w:w="11906" w:h="16838"/>
      <w:pgMar w:left="1134" w:right="1134" w:header="0" w:top="1134" w:footer="1134" w:bottom="1693"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Symbo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Arial">
    <w:charset w:val="00"/>
    <w:family w:val="roman"/>
    <w:pitch w:val="variable"/>
  </w:font>
  <w:font w:name="Century Gothic">
    <w:charset w:val="00"/>
    <w:family w:val="roman"/>
    <w:pitch w:val="variable"/>
  </w:font>
  <w:font w:name="Garamond">
    <w:charset w:val="00"/>
    <w:family w:val="roman"/>
    <w:pitch w:val="variable"/>
  </w:font>
  <w:font w:name="Trebuchet M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right"/>
      <w:rPr/>
    </w:pPr>
    <w:r>
      <w:rPr/>
      <w:fldChar w:fldCharType="begin"/>
    </w:r>
    <w:r>
      <w:instrText> PAGE </w:instrText>
    </w:r>
    <w:r>
      <w:fldChar w:fldCharType="separate"/>
    </w:r>
    <w:r>
      <w:t>14</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Style w:val="Caracteresdenotaderodap"/>
          <w:rFonts w:ascii="Trebuchet MS" w:hAnsi="Trebuchet MS"/>
        </w:rPr>
        <w:footnoteRef/>
        <w:tab/>
      </w:r>
      <w:r>
        <w:rPr>
          <w:rStyle w:val="Caracteresdenotaderodap"/>
          <w:rFonts w:ascii="Trebuchet MS" w:hAnsi="Trebuchet MS"/>
        </w:rPr>
        <w:tab/>
      </w:r>
      <w:r>
        <w:rPr>
          <w:rFonts w:cs="Garamond" w:ascii="Garamond" w:hAnsi="Garamond"/>
        </w:rPr>
        <w:t>Abster-se de utilizar os termos “oposição ou resistência à ação policial” e usar a expressão “lesão corporal ou homicídio decorrente de intervenção policial”.</w:t>
      </w:r>
    </w:p>
  </w:footnote>
  <w:footnote w:id="3">
    <w:p>
      <w:pPr>
        <w:pStyle w:val="Footnotetext"/>
        <w:rPr/>
      </w:pPr>
      <w:r>
        <w:rPr>
          <w:rStyle w:val="Caracteresdenotaderodap"/>
          <w:rFonts w:ascii="Trebuchet MS" w:hAnsi="Trebuchet MS"/>
        </w:rPr>
        <w:footnoteRef/>
        <w:tab/>
      </w:r>
      <w:r>
        <w:rPr>
          <w:rStyle w:val="Caracteresdenotaderodap"/>
          <w:rFonts w:ascii="Trebuchet MS" w:hAnsi="Trebuchet MS"/>
        </w:rPr>
        <w:tab/>
      </w:r>
      <w:r>
        <w:rPr>
          <w:rFonts w:cs="Garamond" w:ascii="Garamond" w:hAnsi="Garamond"/>
        </w:rPr>
        <w:t>Descrever e especificar as atividades desenvolvidas.</w:t>
      </w:r>
    </w:p>
  </w:footnote>
  <w:footnote w:id="4">
    <w:p>
      <w:pPr>
        <w:pStyle w:val="Footnotetext"/>
        <w:jc w:val="both"/>
        <w:rPr/>
      </w:pPr>
      <w:r>
        <w:rPr>
          <w:rStyle w:val="Caracteresdenotaderodap"/>
          <w:rFonts w:ascii="Trebuchet MS" w:hAnsi="Trebuchet MS"/>
        </w:rPr>
        <w:footnoteRef/>
        <w:tab/>
      </w:r>
      <w:r>
        <w:rPr>
          <w:rStyle w:val="Caracteresdenotaderodap"/>
          <w:rFonts w:ascii="Trebuchet MS" w:hAnsi="Trebuchet MS"/>
        </w:rPr>
        <w:tab/>
      </w:r>
      <w:r>
        <w:rPr>
          <w:rFonts w:cs="Garamond" w:ascii="Garamond" w:hAnsi="Garamond"/>
        </w:rPr>
        <w:t>Realização de palestras em escolas, associações, Ong's, clubes, etc.</w:t>
      </w:r>
    </w:p>
  </w:footnote>
  <w:footnote w:id="5">
    <w:p>
      <w:pPr>
        <w:pStyle w:val="Footnotetext"/>
        <w:jc w:val="both"/>
        <w:rPr/>
      </w:pPr>
      <w:r>
        <w:rPr>
          <w:rStyle w:val="Caracteresdenotaderodap"/>
          <w:rFonts w:ascii="Trebuchet MS" w:hAnsi="Trebuchet MS"/>
        </w:rPr>
        <w:footnoteRef/>
        <w:tab/>
      </w:r>
      <w:r>
        <w:rPr>
          <w:rStyle w:val="Caracteresdenotaderodap"/>
          <w:rFonts w:ascii="Trebuchet MS" w:hAnsi="Trebuchet MS"/>
        </w:rPr>
        <w:tab/>
      </w:r>
      <w:r>
        <w:rPr>
          <w:rFonts w:cs="Garamond" w:ascii="Garamond" w:hAnsi="Garamond"/>
        </w:rPr>
        <w:t>Espaço dialógico da Democracia. Ouvir a comunidade, colher propostas e prestar contas de seu trabalho.</w:t>
      </w:r>
    </w:p>
  </w:footnote>
  <w:footnote w:id="6">
    <w:p>
      <w:pPr>
        <w:pStyle w:val="Footnotetext"/>
        <w:jc w:val="both"/>
        <w:rPr/>
      </w:pPr>
      <w:r>
        <w:rPr>
          <w:rStyle w:val="Caracteresdenotaderodap"/>
          <w:rFonts w:ascii="Trebuchet MS" w:hAnsi="Trebuchet MS"/>
        </w:rPr>
        <w:footnoteRef/>
        <w:tab/>
      </w:r>
      <w:r>
        <w:rPr>
          <w:rStyle w:val="Caracteresdenotaderodap"/>
          <w:rFonts w:ascii="Trebuchet MS" w:hAnsi="Trebuchet MS"/>
        </w:rPr>
        <w:tab/>
      </w:r>
      <w:r>
        <w:rPr>
          <w:rFonts w:cs="Garamond" w:ascii="Garamond" w:hAnsi="Garamond"/>
        </w:rPr>
        <w:t>Exercício da função extrajudicial de modo interdisciplinar, ou seja, dialogando com os demais ramos do conhecimento científico e se utiliza, em procedimentos judiciais e extrajudiciais, indicadores sociais como prova.</w:t>
      </w:r>
    </w:p>
  </w:footnote>
  <w:footnote w:id="7">
    <w:p>
      <w:pPr>
        <w:pStyle w:val="Footnotetext"/>
        <w:jc w:val="both"/>
        <w:rPr/>
      </w:pPr>
      <w:r>
        <w:rPr>
          <w:rStyle w:val="Caracteresdenotaderodap"/>
          <w:rFonts w:ascii="Trebuchet MS" w:hAnsi="Trebuchet MS"/>
        </w:rPr>
        <w:footnoteRef/>
        <w:tab/>
      </w:r>
      <w:r>
        <w:rPr>
          <w:rStyle w:val="Caracteresdenotaderodap"/>
          <w:rFonts w:ascii="Trebuchet MS" w:hAnsi="Trebuchet MS"/>
        </w:rPr>
        <w:tab/>
      </w:r>
      <w:r>
        <w:rPr>
          <w:rFonts w:cs="Garamond" w:ascii="Garamond" w:hAnsi="Garamond"/>
        </w:rPr>
        <w:t>Uso de recomendação dirigida ao Poder Executivo e ao Poder Legislativo, com o objetivo de provocar o controle preventivo de constitucionalidade e de representação dirigida ao Procurador Geral de Justiça ou ao Procurador Geral da República, com o intuito de promover o controle concentrado de constitucionalidade.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embedSystemFonts/>
  <w:defaultTabStop w:val="709"/>
  <w:autoHyphenation w:val="fals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0"/>
        <w:szCs w:val="24"/>
        <w:lang w:val="pt-BR" w:eastAsia="zh-CN" w:bidi="hi-IN"/>
      </w:rPr>
    </w:rPrDefault>
    <w:pPrDefault>
      <w:pPr/>
    </w:pPrDefault>
  </w:docDefaults>
  <w:style w:type="paragraph" w:styleId="Normal">
    <w:name w:val="Normal"/>
    <w:qFormat/>
    <w:pPr>
      <w:widowControl w:val="false"/>
      <w:suppressAutoHyphens w:val="true"/>
      <w:overflowPunct w:val="true"/>
      <w:bidi w:val="0"/>
      <w:jc w:val="left"/>
      <w:textAlignment w:val="baseline"/>
    </w:pPr>
    <w:rPr>
      <w:rFonts w:ascii="Times New Roman" w:hAnsi="Times New Roman" w:eastAsia="SimSun" w:cs="Mangal"/>
      <w:color w:val="00000A"/>
      <w:sz w:val="24"/>
      <w:szCs w:val="24"/>
      <w:lang w:val="pt-BR" w:eastAsia="zh-CN" w:bidi="hi-IN"/>
    </w:rPr>
  </w:style>
  <w:style w:type="paragraph" w:styleId="Ttulo1">
    <w:name w:val="Heading 1"/>
    <w:basedOn w:val="Normal"/>
    <w:qFormat/>
    <w:pPr>
      <w:keepNext/>
    </w:pPr>
    <w:rPr>
      <w:sz w:val="28"/>
    </w:rPr>
  </w:style>
  <w:style w:type="paragraph" w:styleId="Ttulo2">
    <w:name w:val="Heading 2"/>
    <w:basedOn w:val="Normal"/>
    <w:qFormat/>
    <w:pPr>
      <w:keepNext/>
      <w:jc w:val="both"/>
    </w:pPr>
    <w:rPr>
      <w:sz w:val="28"/>
    </w:rPr>
  </w:style>
  <w:style w:type="paragraph" w:styleId="Ttulo3">
    <w:name w:val="Heading 3"/>
    <w:basedOn w:val="Normal"/>
    <w:qFormat/>
    <w:pPr>
      <w:keepNext/>
      <w:jc w:val="both"/>
    </w:pPr>
    <w:rPr>
      <w:rFonts w:ascii="Tahoma" w:hAnsi="Tahoma" w:cs="Tahoma"/>
      <w:sz w:val="28"/>
    </w:rPr>
  </w:style>
  <w:style w:type="paragraph" w:styleId="Ttulo4">
    <w:name w:val="Heading 4"/>
    <w:basedOn w:val="Ttulo"/>
    <w:qFormat/>
    <w:pPr>
      <w:widowControl w:val="false"/>
      <w:jc w:val="left"/>
    </w:pPr>
    <w:rPr>
      <w:b/>
      <w:bCs/>
      <w:i/>
      <w:iCs/>
      <w:sz w:val="24"/>
      <w:szCs w:val="24"/>
    </w:rPr>
  </w:style>
  <w:style w:type="paragraph" w:styleId="Ttulo5">
    <w:name w:val="Heading 5"/>
    <w:basedOn w:val="Ttulo"/>
    <w:qFormat/>
    <w:pPr>
      <w:widowControl w:val="false"/>
      <w:jc w:val="left"/>
    </w:pPr>
    <w:rPr>
      <w:b/>
      <w:bCs/>
      <w:sz w:val="24"/>
      <w:szCs w:val="24"/>
    </w:rPr>
  </w:style>
  <w:style w:type="paragraph" w:styleId="Ttulo6">
    <w:name w:val="Heading 6"/>
    <w:basedOn w:val="Ttulo"/>
    <w:qFormat/>
    <w:pPr>
      <w:widowControl w:val="false"/>
      <w:jc w:val="left"/>
    </w:pPr>
    <w:rPr>
      <w:b/>
      <w:bCs/>
      <w:sz w:val="21"/>
      <w:szCs w:val="21"/>
    </w:rPr>
  </w:style>
  <w:style w:type="paragraph" w:styleId="Ttulo7">
    <w:name w:val="Heading 7"/>
    <w:basedOn w:val="Ttulo"/>
    <w:qFormat/>
    <w:pPr>
      <w:widowControl w:val="false"/>
      <w:jc w:val="left"/>
    </w:pPr>
    <w:rPr>
      <w:b/>
      <w:bCs/>
      <w:sz w:val="21"/>
      <w:szCs w:val="21"/>
    </w:rPr>
  </w:style>
  <w:style w:type="paragraph" w:styleId="Ttulo8">
    <w:name w:val="Heading 8"/>
    <w:basedOn w:val="Ttulo"/>
    <w:qFormat/>
    <w:pPr>
      <w:widowControl w:val="false"/>
      <w:jc w:val="left"/>
    </w:pPr>
    <w:rPr>
      <w:b/>
      <w:bCs/>
      <w:sz w:val="21"/>
      <w:szCs w:val="21"/>
    </w:rPr>
  </w:style>
  <w:style w:type="paragraph" w:styleId="Ttulo9">
    <w:name w:val="Heading 9"/>
    <w:basedOn w:val="Ttulo"/>
    <w:qFormat/>
    <w:pPr>
      <w:widowControl w:val="false"/>
      <w:jc w:val="left"/>
    </w:pPr>
    <w:rPr>
      <w:b/>
      <w:bCs/>
      <w:sz w:val="21"/>
      <w:szCs w:val="21"/>
    </w:rPr>
  </w:style>
  <w:style w:type="character" w:styleId="DefaultParagraphFont">
    <w:name w:val="Default Paragraph Font"/>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Symbol" w:hAnsi="Symbol" w:cs="OpenSymbol"/>
      <w:caps w:val="false"/>
      <w:smallCaps w:val="false"/>
      <w:strike w:val="false"/>
      <w:dstrike w:val="false"/>
      <w:position w:val="0"/>
      <w:sz w:val="24"/>
      <w:sz w:val="24"/>
      <w:vertAlign w:val="baseline"/>
      <w:lang w:val="pt-BR"/>
    </w:rPr>
  </w:style>
  <w:style w:type="character" w:styleId="WW8Num4z1">
    <w:name w:val="WW8Num4z1"/>
    <w:qFormat/>
    <w:rPr>
      <w:rFonts w:ascii="OpenSymbol" w:hAnsi="OpenSymbol" w:cs="OpenSymbol"/>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8Num3zfalse">
    <w:name w:val="WW8Num3zfalse"/>
    <w:qFormat/>
    <w:rPr/>
  </w:style>
  <w:style w:type="character" w:styleId="WW8Num3ztrue">
    <w:name w:val="WW8Num3ztrue"/>
    <w:qFormat/>
    <w:rPr/>
  </w:style>
  <w:style w:type="character" w:styleId="WWWW8Num3ztrue">
    <w:name w:val="WW-WW8Num3ztrue"/>
    <w:qFormat/>
    <w:rPr/>
  </w:style>
  <w:style w:type="character" w:styleId="WWWW8Num3ztrue1">
    <w:name w:val="WW-WW8Num3ztrue1"/>
    <w:qFormat/>
    <w:rPr/>
  </w:style>
  <w:style w:type="character" w:styleId="WWWW8Num3ztrue2">
    <w:name w:val="WW-WW8Num3ztrue2"/>
    <w:qFormat/>
    <w:rPr/>
  </w:style>
  <w:style w:type="character" w:styleId="WWWW8Num3ztrue3">
    <w:name w:val="WW-WW8Num3ztrue3"/>
    <w:qFormat/>
    <w:rPr/>
  </w:style>
  <w:style w:type="character" w:styleId="WWWW8Num3ztrue4">
    <w:name w:val="WW-WW8Num3ztrue4"/>
    <w:qFormat/>
    <w:rPr/>
  </w:style>
  <w:style w:type="character" w:styleId="WWWW8Num3ztrue5">
    <w:name w:val="WW-WW8Num3ztrue5"/>
    <w:qFormat/>
    <w:rPr/>
  </w:style>
  <w:style w:type="character" w:styleId="WWWW8Num3ztrue6">
    <w:name w:val="WW-WW8Num3ztrue6"/>
    <w:qFormat/>
    <w:rPr/>
  </w:style>
  <w:style w:type="character" w:styleId="WWWW8Num1ztrue7">
    <w:name w:val="WW-WW8Num1ztrue7"/>
    <w:qFormat/>
    <w:rPr/>
  </w:style>
  <w:style w:type="character" w:styleId="WWWW8Num1ztrue11">
    <w:name w:val="WW-WW8Num1ztrue11"/>
    <w:qFormat/>
    <w:rPr/>
  </w:style>
  <w:style w:type="character" w:styleId="WWWW8Num1ztrue12">
    <w:name w:val="WW-WW8Num1ztrue12"/>
    <w:qFormat/>
    <w:rPr/>
  </w:style>
  <w:style w:type="character" w:styleId="WWWW8Num1ztrue123">
    <w:name w:val="WW-WW8Num1ztrue123"/>
    <w:qFormat/>
    <w:rPr/>
  </w:style>
  <w:style w:type="character" w:styleId="WWWW8Num1ztrue1234">
    <w:name w:val="WW-WW8Num1ztrue1234"/>
    <w:qFormat/>
    <w:rPr/>
  </w:style>
  <w:style w:type="character" w:styleId="WWWW8Num1ztrue12345">
    <w:name w:val="WW-WW8Num1ztrue12345"/>
    <w:qFormat/>
    <w:rPr/>
  </w:style>
  <w:style w:type="character" w:styleId="WWWW8Num1ztrue123456">
    <w:name w:val="WW-WW8Num1ztrue123456"/>
    <w:qFormat/>
    <w:rPr/>
  </w:style>
  <w:style w:type="character" w:styleId="WWWW8Num2ztrue7">
    <w:name w:val="WW-WW8Num2ztrue7"/>
    <w:qFormat/>
    <w:rPr/>
  </w:style>
  <w:style w:type="character" w:styleId="WWWW8Num2ztrue11">
    <w:name w:val="WW-WW8Num2ztrue11"/>
    <w:qFormat/>
    <w:rPr/>
  </w:style>
  <w:style w:type="character" w:styleId="WWWW8Num2ztrue12">
    <w:name w:val="WW-WW8Num2ztrue12"/>
    <w:qFormat/>
    <w:rPr/>
  </w:style>
  <w:style w:type="character" w:styleId="WWWW8Num2ztrue123">
    <w:name w:val="WW-WW8Num2ztrue123"/>
    <w:qFormat/>
    <w:rPr/>
  </w:style>
  <w:style w:type="character" w:styleId="WWWW8Num2ztrue1234">
    <w:name w:val="WW-WW8Num2ztrue1234"/>
    <w:qFormat/>
    <w:rPr/>
  </w:style>
  <w:style w:type="character" w:styleId="WWWW8Num2ztrue12345">
    <w:name w:val="WW-WW8Num2ztrue12345"/>
    <w:qFormat/>
    <w:rPr/>
  </w:style>
  <w:style w:type="character" w:styleId="WWWW8Num2ztrue123456">
    <w:name w:val="WW-WW8Num2ztrue123456"/>
    <w:qFormat/>
    <w:rPr/>
  </w:style>
  <w:style w:type="character" w:styleId="WWWW8Num3ztrue7">
    <w:name w:val="WW-WW8Num3ztrue7"/>
    <w:qFormat/>
    <w:rPr/>
  </w:style>
  <w:style w:type="character" w:styleId="WWWW8Num3ztrue11">
    <w:name w:val="WW-WW8Num3ztrue11"/>
    <w:qFormat/>
    <w:rPr/>
  </w:style>
  <w:style w:type="character" w:styleId="WWWW8Num3ztrue12">
    <w:name w:val="WW-WW8Num3ztrue12"/>
    <w:qFormat/>
    <w:rPr/>
  </w:style>
  <w:style w:type="character" w:styleId="WWWW8Num3ztrue123">
    <w:name w:val="WW-WW8Num3ztrue123"/>
    <w:qFormat/>
    <w:rPr/>
  </w:style>
  <w:style w:type="character" w:styleId="WWWW8Num3ztrue1234">
    <w:name w:val="WW-WW8Num3ztrue1234"/>
    <w:qFormat/>
    <w:rPr/>
  </w:style>
  <w:style w:type="character" w:styleId="WWWW8Num3ztrue12345">
    <w:name w:val="WW-WW8Num3ztrue12345"/>
    <w:qFormat/>
    <w:rPr/>
  </w:style>
  <w:style w:type="character" w:styleId="WWWW8Num3ztrue123456">
    <w:name w:val="WW-WW8Num3ztrue123456"/>
    <w:qFormat/>
    <w:rPr/>
  </w:style>
  <w:style w:type="character" w:styleId="WWWW8Num1ztrue1234567">
    <w:name w:val="WW-WW8Num1ztrue1234567"/>
    <w:qFormat/>
    <w:rPr/>
  </w:style>
  <w:style w:type="character" w:styleId="WWWW8Num1ztrue111">
    <w:name w:val="WW-WW8Num1ztrue111"/>
    <w:qFormat/>
    <w:rPr/>
  </w:style>
  <w:style w:type="character" w:styleId="WWWW8Num1ztrue121">
    <w:name w:val="WW-WW8Num1ztrue121"/>
    <w:qFormat/>
    <w:rPr/>
  </w:style>
  <w:style w:type="character" w:styleId="WWWW8Num1ztrue1231">
    <w:name w:val="WW-WW8Num1ztrue1231"/>
    <w:qFormat/>
    <w:rPr/>
  </w:style>
  <w:style w:type="character" w:styleId="WWWW8Num1ztrue12341">
    <w:name w:val="WW-WW8Num1ztrue12341"/>
    <w:qFormat/>
    <w:rPr/>
  </w:style>
  <w:style w:type="character" w:styleId="WWWW8Num1ztrue123451">
    <w:name w:val="WW-WW8Num1ztrue123451"/>
    <w:qFormat/>
    <w:rPr/>
  </w:style>
  <w:style w:type="character" w:styleId="WWWW8Num1ztrue1234561">
    <w:name w:val="WW-WW8Num1ztrue1234561"/>
    <w:qFormat/>
    <w:rPr/>
  </w:style>
  <w:style w:type="character" w:styleId="WWWW8Num2ztrue1234567">
    <w:name w:val="WW-WW8Num2ztrue1234567"/>
    <w:qFormat/>
    <w:rPr/>
  </w:style>
  <w:style w:type="character" w:styleId="WWWW8Num2ztrue111">
    <w:name w:val="WW-WW8Num2ztrue111"/>
    <w:qFormat/>
    <w:rPr/>
  </w:style>
  <w:style w:type="character" w:styleId="WWWW8Num2ztrue121">
    <w:name w:val="WW-WW8Num2ztrue121"/>
    <w:qFormat/>
    <w:rPr/>
  </w:style>
  <w:style w:type="character" w:styleId="WWWW8Num2ztrue1231">
    <w:name w:val="WW-WW8Num2ztrue1231"/>
    <w:qFormat/>
    <w:rPr/>
  </w:style>
  <w:style w:type="character" w:styleId="WWWW8Num2ztrue12341">
    <w:name w:val="WW-WW8Num2ztrue12341"/>
    <w:qFormat/>
    <w:rPr/>
  </w:style>
  <w:style w:type="character" w:styleId="WWWW8Num2ztrue123451">
    <w:name w:val="WW-WW8Num2ztrue123451"/>
    <w:qFormat/>
    <w:rPr/>
  </w:style>
  <w:style w:type="character" w:styleId="WWWW8Num2ztrue1234561">
    <w:name w:val="WW-WW8Num2ztrue1234561"/>
    <w:qFormat/>
    <w:rPr/>
  </w:style>
  <w:style w:type="character" w:styleId="WWWW8Num3ztrue1234567">
    <w:name w:val="WW-WW8Num3ztrue1234567"/>
    <w:qFormat/>
    <w:rPr/>
  </w:style>
  <w:style w:type="character" w:styleId="WWWW8Num3ztrue111">
    <w:name w:val="WW-WW8Num3ztrue111"/>
    <w:qFormat/>
    <w:rPr/>
  </w:style>
  <w:style w:type="character" w:styleId="WWWW8Num3ztrue121">
    <w:name w:val="WW-WW8Num3ztrue121"/>
    <w:qFormat/>
    <w:rPr/>
  </w:style>
  <w:style w:type="character" w:styleId="WWWW8Num3ztrue1231">
    <w:name w:val="WW-WW8Num3ztrue1231"/>
    <w:qFormat/>
    <w:rPr/>
  </w:style>
  <w:style w:type="character" w:styleId="WWWW8Num3ztrue12341">
    <w:name w:val="WW-WW8Num3ztrue12341"/>
    <w:qFormat/>
    <w:rPr/>
  </w:style>
  <w:style w:type="character" w:styleId="WWWW8Num3ztrue123451">
    <w:name w:val="WW-WW8Num3ztrue123451"/>
    <w:qFormat/>
    <w:rPr/>
  </w:style>
  <w:style w:type="character" w:styleId="WWWW8Num3ztrue1234561">
    <w:name w:val="WW-WW8Num3ztrue1234561"/>
    <w:qFormat/>
    <w:rPr/>
  </w:style>
  <w:style w:type="character" w:styleId="WWWW8Num1ztrue12345671">
    <w:name w:val="WW-WW8Num1ztrue12345671"/>
    <w:qFormat/>
    <w:rPr/>
  </w:style>
  <w:style w:type="character" w:styleId="WWWW8Num1ztrue1111">
    <w:name w:val="WW-WW8Num1ztrue1111"/>
    <w:qFormat/>
    <w:rPr/>
  </w:style>
  <w:style w:type="character" w:styleId="WWWW8Num1ztrue1211">
    <w:name w:val="WW-WW8Num1ztrue1211"/>
    <w:qFormat/>
    <w:rPr/>
  </w:style>
  <w:style w:type="character" w:styleId="WWWW8Num1ztrue12311">
    <w:name w:val="WW-WW8Num1ztrue12311"/>
    <w:qFormat/>
    <w:rPr/>
  </w:style>
  <w:style w:type="character" w:styleId="WWWW8Num1ztrue123411">
    <w:name w:val="WW-WW8Num1ztrue123411"/>
    <w:qFormat/>
    <w:rPr/>
  </w:style>
  <w:style w:type="character" w:styleId="WWWW8Num1ztrue1234511">
    <w:name w:val="WW-WW8Num1ztrue1234511"/>
    <w:qFormat/>
    <w:rPr/>
  </w:style>
  <w:style w:type="character" w:styleId="WWWW8Num1ztrue12345611">
    <w:name w:val="WW-WW8Num1ztrue12345611"/>
    <w:qFormat/>
    <w:rPr/>
  </w:style>
  <w:style w:type="character" w:styleId="WWWW8Num2ztrue12345671">
    <w:name w:val="WW-WW8Num2ztrue12345671"/>
    <w:qFormat/>
    <w:rPr/>
  </w:style>
  <w:style w:type="character" w:styleId="WWWW8Num2ztrue1111">
    <w:name w:val="WW-WW8Num2ztrue1111"/>
    <w:qFormat/>
    <w:rPr/>
  </w:style>
  <w:style w:type="character" w:styleId="WWWW8Num2ztrue1211">
    <w:name w:val="WW-WW8Num2ztrue1211"/>
    <w:qFormat/>
    <w:rPr/>
  </w:style>
  <w:style w:type="character" w:styleId="WWWW8Num2ztrue12311">
    <w:name w:val="WW-WW8Num2ztrue12311"/>
    <w:qFormat/>
    <w:rPr/>
  </w:style>
  <w:style w:type="character" w:styleId="WWWW8Num2ztrue123411">
    <w:name w:val="WW-WW8Num2ztrue123411"/>
    <w:qFormat/>
    <w:rPr/>
  </w:style>
  <w:style w:type="character" w:styleId="WWWW8Num2ztrue1234511">
    <w:name w:val="WW-WW8Num2ztrue1234511"/>
    <w:qFormat/>
    <w:rPr/>
  </w:style>
  <w:style w:type="character" w:styleId="WWWW8Num2ztrue12345611">
    <w:name w:val="WW-WW8Num2ztrue12345611"/>
    <w:qFormat/>
    <w:rPr/>
  </w:style>
  <w:style w:type="character" w:styleId="WWWW8Num3ztrue12345671">
    <w:name w:val="WW-WW8Num3ztrue12345671"/>
    <w:qFormat/>
    <w:rPr/>
  </w:style>
  <w:style w:type="character" w:styleId="WWWW8Num3ztrue1111">
    <w:name w:val="WW-WW8Num3ztrue1111"/>
    <w:qFormat/>
    <w:rPr/>
  </w:style>
  <w:style w:type="character" w:styleId="WWWW8Num3ztrue1211">
    <w:name w:val="WW-WW8Num3ztrue1211"/>
    <w:qFormat/>
    <w:rPr/>
  </w:style>
  <w:style w:type="character" w:styleId="WWWW8Num3ztrue12311">
    <w:name w:val="WW-WW8Num3ztrue12311"/>
    <w:qFormat/>
    <w:rPr/>
  </w:style>
  <w:style w:type="character" w:styleId="WWWW8Num3ztrue123411">
    <w:name w:val="WW-WW8Num3ztrue123411"/>
    <w:qFormat/>
    <w:rPr/>
  </w:style>
  <w:style w:type="character" w:styleId="WWWW8Num3ztrue1234511">
    <w:name w:val="WW-WW8Num3ztrue1234511"/>
    <w:qFormat/>
    <w:rPr/>
  </w:style>
  <w:style w:type="character" w:styleId="WWWW8Num3ztrue12345611">
    <w:name w:val="WW-WW8Num3ztrue12345611"/>
    <w:qFormat/>
    <w:rPr/>
  </w:style>
  <w:style w:type="character" w:styleId="WWWW8Num1ztrue123456711">
    <w:name w:val="WW-WW8Num1ztrue123456711"/>
    <w:qFormat/>
    <w:rPr/>
  </w:style>
  <w:style w:type="character" w:styleId="WWWW8Num1ztrue11111">
    <w:name w:val="WW-WW8Num1ztrue11111"/>
    <w:qFormat/>
    <w:rPr/>
  </w:style>
  <w:style w:type="character" w:styleId="WWWW8Num1ztrue12111">
    <w:name w:val="WW-WW8Num1ztrue12111"/>
    <w:qFormat/>
    <w:rPr/>
  </w:style>
  <w:style w:type="character" w:styleId="WWWW8Num1ztrue123111">
    <w:name w:val="WW-WW8Num1ztrue123111"/>
    <w:qFormat/>
    <w:rPr/>
  </w:style>
  <w:style w:type="character" w:styleId="WWWW8Num1ztrue1234111">
    <w:name w:val="WW-WW8Num1ztrue1234111"/>
    <w:qFormat/>
    <w:rPr/>
  </w:style>
  <w:style w:type="character" w:styleId="WWWW8Num1ztrue12345111">
    <w:name w:val="WW-WW8Num1ztrue12345111"/>
    <w:qFormat/>
    <w:rPr/>
  </w:style>
  <w:style w:type="character" w:styleId="WWWW8Num1ztrue123456111">
    <w:name w:val="WW-WW8Num1ztrue123456111"/>
    <w:qFormat/>
    <w:rPr/>
  </w:style>
  <w:style w:type="character" w:styleId="WWWW8Num2ztrue123456711">
    <w:name w:val="WW-WW8Num2ztrue123456711"/>
    <w:qFormat/>
    <w:rPr/>
  </w:style>
  <w:style w:type="character" w:styleId="WWWW8Num2ztrue11111">
    <w:name w:val="WW-WW8Num2ztrue11111"/>
    <w:qFormat/>
    <w:rPr/>
  </w:style>
  <w:style w:type="character" w:styleId="WWWW8Num2ztrue12111">
    <w:name w:val="WW-WW8Num2ztrue12111"/>
    <w:qFormat/>
    <w:rPr/>
  </w:style>
  <w:style w:type="character" w:styleId="WWWW8Num2ztrue123111">
    <w:name w:val="WW-WW8Num2ztrue123111"/>
    <w:qFormat/>
    <w:rPr/>
  </w:style>
  <w:style w:type="character" w:styleId="WWWW8Num2ztrue1234111">
    <w:name w:val="WW-WW8Num2ztrue1234111"/>
    <w:qFormat/>
    <w:rPr/>
  </w:style>
  <w:style w:type="character" w:styleId="WWWW8Num2ztrue12345111">
    <w:name w:val="WW-WW8Num2ztrue12345111"/>
    <w:qFormat/>
    <w:rPr/>
  </w:style>
  <w:style w:type="character" w:styleId="WWWW8Num2ztrue123456111">
    <w:name w:val="WW-WW8Num2ztrue123456111"/>
    <w:qFormat/>
    <w:rPr/>
  </w:style>
  <w:style w:type="character" w:styleId="WWWW8Num3ztrue123456711">
    <w:name w:val="WW-WW8Num3ztrue123456711"/>
    <w:qFormat/>
    <w:rPr/>
  </w:style>
  <w:style w:type="character" w:styleId="WWWW8Num3ztrue11111">
    <w:name w:val="WW-WW8Num3ztrue11111"/>
    <w:qFormat/>
    <w:rPr/>
  </w:style>
  <w:style w:type="character" w:styleId="WWWW8Num3ztrue12111">
    <w:name w:val="WW-WW8Num3ztrue12111"/>
    <w:qFormat/>
    <w:rPr/>
  </w:style>
  <w:style w:type="character" w:styleId="WWWW8Num3ztrue123111">
    <w:name w:val="WW-WW8Num3ztrue123111"/>
    <w:qFormat/>
    <w:rPr/>
  </w:style>
  <w:style w:type="character" w:styleId="WWWW8Num3ztrue1234111">
    <w:name w:val="WW-WW8Num3ztrue1234111"/>
    <w:qFormat/>
    <w:rPr/>
  </w:style>
  <w:style w:type="character" w:styleId="WWWW8Num3ztrue12345111">
    <w:name w:val="WW-WW8Num3ztrue12345111"/>
    <w:qFormat/>
    <w:rPr/>
  </w:style>
  <w:style w:type="character" w:styleId="WWWW8Num3ztrue123456111">
    <w:name w:val="WW-WW8Num3ztrue123456111"/>
    <w:qFormat/>
    <w:rPr/>
  </w:style>
  <w:style w:type="character" w:styleId="WWWW8Num1ztrue1234567111">
    <w:name w:val="WW-WW8Num1ztrue1234567111"/>
    <w:qFormat/>
    <w:rPr/>
  </w:style>
  <w:style w:type="character" w:styleId="WWWW8Num1ztrue111111">
    <w:name w:val="WW-WW8Num1ztrue111111"/>
    <w:qFormat/>
    <w:rPr/>
  </w:style>
  <w:style w:type="character" w:styleId="WWWW8Num1ztrue121111">
    <w:name w:val="WW-WW8Num1ztrue121111"/>
    <w:qFormat/>
    <w:rPr/>
  </w:style>
  <w:style w:type="character" w:styleId="WWWW8Num1ztrue1231111">
    <w:name w:val="WW-WW8Num1ztrue1231111"/>
    <w:qFormat/>
    <w:rPr/>
  </w:style>
  <w:style w:type="character" w:styleId="WWWW8Num1ztrue12341111">
    <w:name w:val="WW-WW8Num1ztrue12341111"/>
    <w:qFormat/>
    <w:rPr/>
  </w:style>
  <w:style w:type="character" w:styleId="WWWW8Num1ztrue123451111">
    <w:name w:val="WW-WW8Num1ztrue123451111"/>
    <w:qFormat/>
    <w:rPr/>
  </w:style>
  <w:style w:type="character" w:styleId="WWWW8Num1ztrue1234561111">
    <w:name w:val="WW-WW8Num1ztrue1234561111"/>
    <w:qFormat/>
    <w:rPr/>
  </w:style>
  <w:style w:type="character" w:styleId="WWWW8Num2ztrue1234567111">
    <w:name w:val="WW-WW8Num2ztrue1234567111"/>
    <w:qFormat/>
    <w:rPr/>
  </w:style>
  <w:style w:type="character" w:styleId="WWWW8Num2ztrue111111">
    <w:name w:val="WW-WW8Num2ztrue111111"/>
    <w:qFormat/>
    <w:rPr/>
  </w:style>
  <w:style w:type="character" w:styleId="WWWW8Num2ztrue121111">
    <w:name w:val="WW-WW8Num2ztrue121111"/>
    <w:qFormat/>
    <w:rPr/>
  </w:style>
  <w:style w:type="character" w:styleId="WWWW8Num2ztrue1231111">
    <w:name w:val="WW-WW8Num2ztrue1231111"/>
    <w:qFormat/>
    <w:rPr/>
  </w:style>
  <w:style w:type="character" w:styleId="WWWW8Num2ztrue12341111">
    <w:name w:val="WW-WW8Num2ztrue12341111"/>
    <w:qFormat/>
    <w:rPr/>
  </w:style>
  <w:style w:type="character" w:styleId="WWWW8Num2ztrue123451111">
    <w:name w:val="WW-WW8Num2ztrue123451111"/>
    <w:qFormat/>
    <w:rPr/>
  </w:style>
  <w:style w:type="character" w:styleId="WWWW8Num2ztrue1234561111">
    <w:name w:val="WW-WW8Num2ztrue1234561111"/>
    <w:qFormat/>
    <w:rPr/>
  </w:style>
  <w:style w:type="character" w:styleId="WWWW8Num3ztrue1234567111">
    <w:name w:val="WW-WW8Num3ztrue1234567111"/>
    <w:qFormat/>
    <w:rPr/>
  </w:style>
  <w:style w:type="character" w:styleId="WWWW8Num3ztrue111111">
    <w:name w:val="WW-WW8Num3ztrue111111"/>
    <w:qFormat/>
    <w:rPr/>
  </w:style>
  <w:style w:type="character" w:styleId="WWWW8Num3ztrue121111">
    <w:name w:val="WW-WW8Num3ztrue121111"/>
    <w:qFormat/>
    <w:rPr/>
  </w:style>
  <w:style w:type="character" w:styleId="WWWW8Num3ztrue1231111">
    <w:name w:val="WW-WW8Num3ztrue1231111"/>
    <w:qFormat/>
    <w:rPr/>
  </w:style>
  <w:style w:type="character" w:styleId="WWWW8Num3ztrue12341111">
    <w:name w:val="WW-WW8Num3ztrue12341111"/>
    <w:qFormat/>
    <w:rPr/>
  </w:style>
  <w:style w:type="character" w:styleId="WWWW8Num3ztrue123451111">
    <w:name w:val="WW-WW8Num3ztrue123451111"/>
    <w:qFormat/>
    <w:rPr/>
  </w:style>
  <w:style w:type="character" w:styleId="WWWW8Num3ztrue1234561111">
    <w:name w:val="WW-WW8Num3ztrue1234561111"/>
    <w:qFormat/>
    <w:rPr/>
  </w:style>
  <w:style w:type="character" w:styleId="WWWW8Num1ztrue12345671111">
    <w:name w:val="WW-WW8Num1ztrue12345671111"/>
    <w:qFormat/>
    <w:rPr/>
  </w:style>
  <w:style w:type="character" w:styleId="WWWW8Num1ztrue1111111">
    <w:name w:val="WW-WW8Num1ztrue1111111"/>
    <w:qFormat/>
    <w:rPr/>
  </w:style>
  <w:style w:type="character" w:styleId="WWWW8Num1ztrue1211111">
    <w:name w:val="WW-WW8Num1ztrue1211111"/>
    <w:qFormat/>
    <w:rPr/>
  </w:style>
  <w:style w:type="character" w:styleId="WWWW8Num1ztrue12311111">
    <w:name w:val="WW-WW8Num1ztrue12311111"/>
    <w:qFormat/>
    <w:rPr/>
  </w:style>
  <w:style w:type="character" w:styleId="WWWW8Num1ztrue123411111">
    <w:name w:val="WW-WW8Num1ztrue123411111"/>
    <w:qFormat/>
    <w:rPr/>
  </w:style>
  <w:style w:type="character" w:styleId="WWWW8Num1ztrue1234511111">
    <w:name w:val="WW-WW8Num1ztrue1234511111"/>
    <w:qFormat/>
    <w:rPr/>
  </w:style>
  <w:style w:type="character" w:styleId="WWWW8Num1ztrue12345611111">
    <w:name w:val="WW-WW8Num1ztrue12345611111"/>
    <w:qFormat/>
    <w:rPr/>
  </w:style>
  <w:style w:type="character" w:styleId="WWWW8Num2ztrue12345671111">
    <w:name w:val="WW-WW8Num2ztrue12345671111"/>
    <w:qFormat/>
    <w:rPr/>
  </w:style>
  <w:style w:type="character" w:styleId="WWWW8Num2ztrue1111111">
    <w:name w:val="WW-WW8Num2ztrue1111111"/>
    <w:qFormat/>
    <w:rPr/>
  </w:style>
  <w:style w:type="character" w:styleId="WWWW8Num2ztrue1211111">
    <w:name w:val="WW-WW8Num2ztrue1211111"/>
    <w:qFormat/>
    <w:rPr/>
  </w:style>
  <w:style w:type="character" w:styleId="WWWW8Num2ztrue12311111">
    <w:name w:val="WW-WW8Num2ztrue12311111"/>
    <w:qFormat/>
    <w:rPr/>
  </w:style>
  <w:style w:type="character" w:styleId="WWWW8Num2ztrue123411111">
    <w:name w:val="WW-WW8Num2ztrue123411111"/>
    <w:qFormat/>
    <w:rPr/>
  </w:style>
  <w:style w:type="character" w:styleId="WWWW8Num2ztrue1234511111">
    <w:name w:val="WW-WW8Num2ztrue1234511111"/>
    <w:qFormat/>
    <w:rPr/>
  </w:style>
  <w:style w:type="character" w:styleId="WWWW8Num2ztrue12345611111">
    <w:name w:val="WW-WW8Num2ztrue12345611111"/>
    <w:qFormat/>
    <w:rPr/>
  </w:style>
  <w:style w:type="character" w:styleId="WWWW8Num3ztrue12345671111">
    <w:name w:val="WW-WW8Num3ztrue12345671111"/>
    <w:qFormat/>
    <w:rPr/>
  </w:style>
  <w:style w:type="character" w:styleId="WWWW8Num3ztrue1111111">
    <w:name w:val="WW-WW8Num3ztrue1111111"/>
    <w:qFormat/>
    <w:rPr/>
  </w:style>
  <w:style w:type="character" w:styleId="WWWW8Num3ztrue1211111">
    <w:name w:val="WW-WW8Num3ztrue1211111"/>
    <w:qFormat/>
    <w:rPr/>
  </w:style>
  <w:style w:type="character" w:styleId="WWWW8Num3ztrue12311111">
    <w:name w:val="WW-WW8Num3ztrue12311111"/>
    <w:qFormat/>
    <w:rPr/>
  </w:style>
  <w:style w:type="character" w:styleId="WWWW8Num3ztrue123411111">
    <w:name w:val="WW-WW8Num3ztrue123411111"/>
    <w:qFormat/>
    <w:rPr/>
  </w:style>
  <w:style w:type="character" w:styleId="WWWW8Num3ztrue1234511111">
    <w:name w:val="WW-WW8Num3ztrue1234511111"/>
    <w:qFormat/>
    <w:rPr/>
  </w:style>
  <w:style w:type="character" w:styleId="WWWW8Num3ztrue12345611111">
    <w:name w:val="WW-WW8Num3ztrue12345611111"/>
    <w:qFormat/>
    <w:rPr/>
  </w:style>
  <w:style w:type="character" w:styleId="WWWW8Num1ztrue123456711111">
    <w:name w:val="WW-WW8Num1ztrue123456711111"/>
    <w:qFormat/>
    <w:rPr/>
  </w:style>
  <w:style w:type="character" w:styleId="WWWW8Num1ztrue11111111">
    <w:name w:val="WW-WW8Num1ztrue11111111"/>
    <w:qFormat/>
    <w:rPr/>
  </w:style>
  <w:style w:type="character" w:styleId="WWWW8Num1ztrue12111111">
    <w:name w:val="WW-WW8Num1ztrue12111111"/>
    <w:qFormat/>
    <w:rPr/>
  </w:style>
  <w:style w:type="character" w:styleId="WWWW8Num1ztrue123111111">
    <w:name w:val="WW-WW8Num1ztrue123111111"/>
    <w:qFormat/>
    <w:rPr/>
  </w:style>
  <w:style w:type="character" w:styleId="WWWW8Num1ztrue1234111111">
    <w:name w:val="WW-WW8Num1ztrue1234111111"/>
    <w:qFormat/>
    <w:rPr/>
  </w:style>
  <w:style w:type="character" w:styleId="WWWW8Num1ztrue12345111111">
    <w:name w:val="WW-WW8Num1ztrue12345111111"/>
    <w:qFormat/>
    <w:rPr/>
  </w:style>
  <w:style w:type="character" w:styleId="WWWW8Num1ztrue123456111111">
    <w:name w:val="WW-WW8Num1ztrue123456111111"/>
    <w:qFormat/>
    <w:rPr/>
  </w:style>
  <w:style w:type="character" w:styleId="WWWW8Num2ztrue123456711111">
    <w:name w:val="WW-WW8Num2ztrue123456711111"/>
    <w:qFormat/>
    <w:rPr/>
  </w:style>
  <w:style w:type="character" w:styleId="WWWW8Num2ztrue11111111">
    <w:name w:val="WW-WW8Num2ztrue11111111"/>
    <w:qFormat/>
    <w:rPr/>
  </w:style>
  <w:style w:type="character" w:styleId="WWWW8Num2ztrue12111111">
    <w:name w:val="WW-WW8Num2ztrue12111111"/>
    <w:qFormat/>
    <w:rPr/>
  </w:style>
  <w:style w:type="character" w:styleId="WWWW8Num2ztrue123111111">
    <w:name w:val="WW-WW8Num2ztrue123111111"/>
    <w:qFormat/>
    <w:rPr/>
  </w:style>
  <w:style w:type="character" w:styleId="WWWW8Num2ztrue1234111111">
    <w:name w:val="WW-WW8Num2ztrue1234111111"/>
    <w:qFormat/>
    <w:rPr/>
  </w:style>
  <w:style w:type="character" w:styleId="WWWW8Num2ztrue12345111111">
    <w:name w:val="WW-WW8Num2ztrue12345111111"/>
    <w:qFormat/>
    <w:rPr/>
  </w:style>
  <w:style w:type="character" w:styleId="WWWW8Num2ztrue123456111111">
    <w:name w:val="WW-WW8Num2ztrue123456111111"/>
    <w:qFormat/>
    <w:rPr/>
  </w:style>
  <w:style w:type="character" w:styleId="WWWW8Num3ztrue123456711111">
    <w:name w:val="WW-WW8Num3ztrue123456711111"/>
    <w:qFormat/>
    <w:rPr/>
  </w:style>
  <w:style w:type="character" w:styleId="WWWW8Num3ztrue11111111">
    <w:name w:val="WW-WW8Num3ztrue11111111"/>
    <w:qFormat/>
    <w:rPr/>
  </w:style>
  <w:style w:type="character" w:styleId="WWWW8Num3ztrue12111111">
    <w:name w:val="WW-WW8Num3ztrue12111111"/>
    <w:qFormat/>
    <w:rPr/>
  </w:style>
  <w:style w:type="character" w:styleId="WWWW8Num3ztrue123111111">
    <w:name w:val="WW-WW8Num3ztrue123111111"/>
    <w:qFormat/>
    <w:rPr/>
  </w:style>
  <w:style w:type="character" w:styleId="WWWW8Num3ztrue1234111111">
    <w:name w:val="WW-WW8Num3ztrue1234111111"/>
    <w:qFormat/>
    <w:rPr/>
  </w:style>
  <w:style w:type="character" w:styleId="WWWW8Num3ztrue12345111111">
    <w:name w:val="WW-WW8Num3ztrue12345111111"/>
    <w:qFormat/>
    <w:rPr/>
  </w:style>
  <w:style w:type="character" w:styleId="WWWW8Num3ztrue123456111111">
    <w:name w:val="WW-WW8Num3ztrue123456111111"/>
    <w:qFormat/>
    <w:rPr/>
  </w:style>
  <w:style w:type="character" w:styleId="WWWW8Num1ztrue1234567111111">
    <w:name w:val="WW-WW8Num1ztrue1234567111111"/>
    <w:qFormat/>
    <w:rPr/>
  </w:style>
  <w:style w:type="character" w:styleId="WWWW8Num1ztrue111111111">
    <w:name w:val="WW-WW8Num1ztrue111111111"/>
    <w:qFormat/>
    <w:rPr/>
  </w:style>
  <w:style w:type="character" w:styleId="WWWW8Num1ztrue121111111">
    <w:name w:val="WW-WW8Num1ztrue121111111"/>
    <w:qFormat/>
    <w:rPr/>
  </w:style>
  <w:style w:type="character" w:styleId="WWWW8Num1ztrue1231111111">
    <w:name w:val="WW-WW8Num1ztrue1231111111"/>
    <w:qFormat/>
    <w:rPr/>
  </w:style>
  <w:style w:type="character" w:styleId="WWWW8Num1ztrue12341111111">
    <w:name w:val="WW-WW8Num1ztrue12341111111"/>
    <w:qFormat/>
    <w:rPr/>
  </w:style>
  <w:style w:type="character" w:styleId="WWWW8Num1ztrue123451111111">
    <w:name w:val="WW-WW8Num1ztrue123451111111"/>
    <w:qFormat/>
    <w:rPr/>
  </w:style>
  <w:style w:type="character" w:styleId="WWWW8Num1ztrue1234561111111">
    <w:name w:val="WW-WW8Num1ztrue1234561111111"/>
    <w:qFormat/>
    <w:rPr/>
  </w:style>
  <w:style w:type="character" w:styleId="WWWW8Num2ztrue1234567111111">
    <w:name w:val="WW-WW8Num2ztrue1234567111111"/>
    <w:qFormat/>
    <w:rPr/>
  </w:style>
  <w:style w:type="character" w:styleId="WWWW8Num2ztrue111111111">
    <w:name w:val="WW-WW8Num2ztrue111111111"/>
    <w:qFormat/>
    <w:rPr/>
  </w:style>
  <w:style w:type="character" w:styleId="WWWW8Num2ztrue121111111">
    <w:name w:val="WW-WW8Num2ztrue121111111"/>
    <w:qFormat/>
    <w:rPr/>
  </w:style>
  <w:style w:type="character" w:styleId="WWWW8Num2ztrue1231111111">
    <w:name w:val="WW-WW8Num2ztrue1231111111"/>
    <w:qFormat/>
    <w:rPr/>
  </w:style>
  <w:style w:type="character" w:styleId="WWWW8Num2ztrue12341111111">
    <w:name w:val="WW-WW8Num2ztrue12341111111"/>
    <w:qFormat/>
    <w:rPr/>
  </w:style>
  <w:style w:type="character" w:styleId="WWWW8Num2ztrue123451111111">
    <w:name w:val="WW-WW8Num2ztrue123451111111"/>
    <w:qFormat/>
    <w:rPr/>
  </w:style>
  <w:style w:type="character" w:styleId="WWWW8Num2ztrue1234561111111">
    <w:name w:val="WW-WW8Num2ztrue1234561111111"/>
    <w:qFormat/>
    <w:rPr/>
  </w:style>
  <w:style w:type="character" w:styleId="WWWW8Num3ztrue1234567111111">
    <w:name w:val="WW-WW8Num3ztrue1234567111111"/>
    <w:qFormat/>
    <w:rPr/>
  </w:style>
  <w:style w:type="character" w:styleId="WWWW8Num3ztrue111111111">
    <w:name w:val="WW-WW8Num3ztrue111111111"/>
    <w:qFormat/>
    <w:rPr/>
  </w:style>
  <w:style w:type="character" w:styleId="WWWW8Num3ztrue121111111">
    <w:name w:val="WW-WW8Num3ztrue121111111"/>
    <w:qFormat/>
    <w:rPr/>
  </w:style>
  <w:style w:type="character" w:styleId="WWWW8Num3ztrue1231111111">
    <w:name w:val="WW-WW8Num3ztrue1231111111"/>
    <w:qFormat/>
    <w:rPr/>
  </w:style>
  <w:style w:type="character" w:styleId="WWWW8Num3ztrue12341111111">
    <w:name w:val="WW-WW8Num3ztrue12341111111"/>
    <w:qFormat/>
    <w:rPr/>
  </w:style>
  <w:style w:type="character" w:styleId="WWWW8Num3ztrue123451111111">
    <w:name w:val="WW-WW8Num3ztrue123451111111"/>
    <w:qFormat/>
    <w:rPr/>
  </w:style>
  <w:style w:type="character" w:styleId="WWWW8Num3ztrue1234561111111">
    <w:name w:val="WW-WW8Num3ztrue1234561111111"/>
    <w:qFormat/>
    <w:rPr/>
  </w:style>
  <w:style w:type="character" w:styleId="Caracteresdenotaderodap">
    <w:name w:val="Caracteres de nota de rodapé"/>
    <w:qFormat/>
    <w:rPr>
      <w:vertAlign w:val="superscript"/>
    </w:rPr>
  </w:style>
  <w:style w:type="character" w:styleId="WWCaracteresdenotaderodap">
    <w:name w:val="WW-Caracteres de nota de rodapé"/>
    <w:qFormat/>
    <w:rPr>
      <w:vertAlign w:val="superscript"/>
    </w:rPr>
  </w:style>
  <w:style w:type="character" w:styleId="Caracteresdenotadefim">
    <w:name w:val="Caracteres de nota de fim"/>
    <w:qFormat/>
    <w:rPr>
      <w:vertAlign w:val="superscript"/>
    </w:rPr>
  </w:style>
  <w:style w:type="character" w:styleId="WWCaracteresdenotadefim">
    <w:name w:val="WW-Caracteres de nota de fim"/>
    <w:qFormat/>
    <w:rPr/>
  </w:style>
  <w:style w:type="character" w:styleId="Footnotereference">
    <w:name w:val="footnote reference"/>
    <w:qFormat/>
    <w:rPr>
      <w:vertAlign w:val="superscript"/>
    </w:rPr>
  </w:style>
  <w:style w:type="character" w:styleId="Endnotereference">
    <w:name w:val="endnote reference"/>
    <w:qFormat/>
    <w:rPr>
      <w:vertAlign w:val="superscript"/>
    </w:rPr>
  </w:style>
  <w:style w:type="character" w:styleId="WWWW8Num2ztrue12345671111111">
    <w:name w:val="WW-WW8Num2ztrue12345671111111"/>
    <w:qFormat/>
    <w:rPr/>
  </w:style>
  <w:style w:type="character" w:styleId="WWWW8Num2ztrue1111111111">
    <w:name w:val="WW-WW8Num2ztrue1111111111"/>
    <w:qFormat/>
    <w:rPr/>
  </w:style>
  <w:style w:type="character" w:styleId="WWWW8Num2ztrue1211111111">
    <w:name w:val="WW-WW8Num2ztrue1211111111"/>
    <w:qFormat/>
    <w:rPr/>
  </w:style>
  <w:style w:type="character" w:styleId="WWWW8Num2ztrue12311111111">
    <w:name w:val="WW-WW8Num2ztrue12311111111"/>
    <w:qFormat/>
    <w:rPr/>
  </w:style>
  <w:style w:type="character" w:styleId="WWWW8Num2ztrue123411111111">
    <w:name w:val="WW-WW8Num2ztrue123411111111"/>
    <w:qFormat/>
    <w:rPr/>
  </w:style>
  <w:style w:type="character" w:styleId="WWWW8Num2ztrue1234511111111">
    <w:name w:val="WW-WW8Num2ztrue1234511111111"/>
    <w:qFormat/>
    <w:rPr/>
  </w:style>
  <w:style w:type="character" w:styleId="WWWW8Num2ztrue12345611111111">
    <w:name w:val="WW-WW8Num2ztrue12345611111111"/>
    <w:qFormat/>
    <w:rPr/>
  </w:style>
  <w:style w:type="character" w:styleId="WWAbsatzStandardschriftart11111111111111111111111">
    <w:name w:val="WW-Absatz-Standardschriftart11111111111111111111111"/>
    <w:qFormat/>
    <w:rPr/>
  </w:style>
  <w:style w:type="character" w:styleId="WWAbsatzStandardschriftart111111111111111111111111">
    <w:name w:val="WW-Absatz-Standardschriftart111111111111111111111111"/>
    <w:qFormat/>
    <w:rPr/>
  </w:style>
  <w:style w:type="character" w:styleId="WWAbsatzStandardschriftart1111111111111111111111111">
    <w:name w:val="WW-Absatz-Standardschriftart1111111111111111111111111"/>
    <w:qFormat/>
    <w:rPr/>
  </w:style>
  <w:style w:type="character" w:styleId="WWAbsatzStandardschriftart11111111111111111111111111">
    <w:name w:val="WW-Absatz-Standardschriftart11111111111111111111111111"/>
    <w:qFormat/>
    <w:rPr/>
  </w:style>
  <w:style w:type="character" w:styleId="WWAbsatzStandardschriftart111111111111111111111111111">
    <w:name w:val="WW-Absatz-Standardschriftart111111111111111111111111111"/>
    <w:qFormat/>
    <w:rPr/>
  </w:style>
  <w:style w:type="character" w:styleId="WWAbsatzStandardschriftart1111111111111111111111111111">
    <w:name w:val="WW-Absatz-Standardschriftart1111111111111111111111111111"/>
    <w:qFormat/>
    <w:rPr/>
  </w:style>
  <w:style w:type="character" w:styleId="WWAbsatzStandardschriftart11111111111111111111111111111">
    <w:name w:val="WW-Absatz-Standardschriftart11111111111111111111111111111"/>
    <w:qFormat/>
    <w:rPr/>
  </w:style>
  <w:style w:type="character" w:styleId="WWAbsatzStandardschriftart111111111111111111111111111111">
    <w:name w:val="WW-Absatz-Standardschriftart111111111111111111111111111111"/>
    <w:qFormat/>
    <w:rPr/>
  </w:style>
  <w:style w:type="character" w:styleId="WWAbsatzStandardschriftart1111111111111111111111111111111">
    <w:name w:val="WW-Absatz-Standardschriftart1111111111111111111111111111111"/>
    <w:qFormat/>
    <w:rPr/>
  </w:style>
  <w:style w:type="character" w:styleId="WWAbsatzStandardschriftart11111111111111111111111111111111">
    <w:name w:val="WW-Absatz-Standardschriftart11111111111111111111111111111111"/>
    <w:qFormat/>
    <w:rPr/>
  </w:style>
  <w:style w:type="character" w:styleId="WWAbsatzStandardschriftart111111111111111111111111111111111">
    <w:name w:val="WW-Absatz-Standardschriftart111111111111111111111111111111111"/>
    <w:qFormat/>
    <w:rPr/>
  </w:style>
  <w:style w:type="character" w:styleId="WWAbsatzStandardschriftart1111111111111111111111111111111111">
    <w:name w:val="WW-Absatz-Standardschriftart1111111111111111111111111111111111"/>
    <w:qFormat/>
    <w:rPr/>
  </w:style>
  <w:style w:type="character" w:styleId="WWAbsatzStandardschriftart11111111111111111111111111111111111">
    <w:name w:val="WW-Absatz-Standardschriftart11111111111111111111111111111111111"/>
    <w:qFormat/>
    <w:rPr/>
  </w:style>
  <w:style w:type="character" w:styleId="WWAbsatzStandardschriftart111111111111111111111111111111111111">
    <w:name w:val="WW-Absatz-Standardschriftart111111111111111111111111111111111111"/>
    <w:qFormat/>
    <w:rPr/>
  </w:style>
  <w:style w:type="character" w:styleId="WWAbsatzStandardschriftart1111111111111111111111111111111111111">
    <w:name w:val="WW-Absatz-Standardschriftart1111111111111111111111111111111111111"/>
    <w:qFormat/>
    <w:rPr/>
  </w:style>
  <w:style w:type="character" w:styleId="WWAbsatzStandardschriftart11111111111111111111111111111111111111">
    <w:name w:val="WW-Absatz-Standardschriftart11111111111111111111111111111111111111"/>
    <w:qFormat/>
    <w:rPr/>
  </w:style>
  <w:style w:type="character" w:styleId="WWAbsatzStandardschriftart111111111111111111111111111111111111111">
    <w:name w:val="WW-Absatz-Standardschriftart111111111111111111111111111111111111111"/>
    <w:qFormat/>
    <w:rPr/>
  </w:style>
  <w:style w:type="character" w:styleId="WWAbsatzStandardschriftart1111111111111111111111111111111111111111">
    <w:name w:val="WW-Absatz-Standardschriftart1111111111111111111111111111111111111111"/>
    <w:qFormat/>
    <w:rPr/>
  </w:style>
  <w:style w:type="character" w:styleId="WWAbsatzStandardschriftart11111111111111111111111111111111111111111">
    <w:name w:val="WW-Absatz-Standardschriftart11111111111111111111111111111111111111111"/>
    <w:qFormat/>
    <w:rPr/>
  </w:style>
  <w:style w:type="character" w:styleId="WWAbsatzStandardschriftart111111111111111111111111111111111111111111">
    <w:name w:val="WW-Absatz-Standardschriftart111111111111111111111111111111111111111111"/>
    <w:qFormat/>
    <w:rPr/>
  </w:style>
  <w:style w:type="character" w:styleId="WWAbsatzStandardschriftart1111111111111111111111111111111111111111111">
    <w:name w:val="WW-Absatz-Standardschriftart1111111111111111111111111111111111111111111"/>
    <w:qFormat/>
    <w:rPr/>
  </w:style>
  <w:style w:type="character" w:styleId="WWAbsatzStandardschriftart11111111111111111111111111111111111111111111">
    <w:name w:val="WW-Absatz-Standardschriftart11111111111111111111111111111111111111111111"/>
    <w:qFormat/>
    <w:rPr/>
  </w:style>
  <w:style w:type="character" w:styleId="WWAbsatzStandardschriftart111111111111111111111111111111111111111111111">
    <w:name w:val="WW-Absatz-Standardschriftart111111111111111111111111111111111111111111111"/>
    <w:qFormat/>
    <w:rPr/>
  </w:style>
  <w:style w:type="character" w:styleId="WWAbsatzStandardschriftart1111111111111111111111111111111111111111111111">
    <w:name w:val="WW-Absatz-Standardschriftart1111111111111111111111111111111111111111111111"/>
    <w:qFormat/>
    <w:rPr/>
  </w:style>
  <w:style w:type="character" w:styleId="WWAbsatzStandardschriftart11111111111111111111111111111111111111111111111">
    <w:name w:val="WW-Absatz-Standardschriftart11111111111111111111111111111111111111111111111"/>
    <w:qFormat/>
    <w:rPr/>
  </w:style>
  <w:style w:type="character" w:styleId="WWAbsatzStandardschriftart111111111111111111111111111111111111111111111111">
    <w:name w:val="WW-Absatz-Standardschriftart111111111111111111111111111111111111111111111111"/>
    <w:qFormat/>
    <w:rPr/>
  </w:style>
  <w:style w:type="character" w:styleId="WWAbsatzStandardschriftart1111111111111111111111111111111111111111111111111">
    <w:name w:val="WW-Absatz-Standardschriftart1111111111111111111111111111111111111111111111111"/>
    <w:qFormat/>
    <w:rPr/>
  </w:style>
  <w:style w:type="character" w:styleId="WWAbsatzStandardschriftart11111111111111111111111111111111111111111111111111">
    <w:name w:val="WW-Absatz-Standardschriftart11111111111111111111111111111111111111111111111111"/>
    <w:qFormat/>
    <w:rPr/>
  </w:style>
  <w:style w:type="character" w:styleId="WWAbsatzStandardschriftart111111111111111111111111111111111111111111111111111">
    <w:name w:val="WW-Absatz-Standardschriftart111111111111111111111111111111111111111111111111111"/>
    <w:qFormat/>
    <w:rPr/>
  </w:style>
  <w:style w:type="character" w:styleId="WWAbsatzStandardschriftart1111111111111111111111111111111111111111111111111111">
    <w:name w:val="WW-Absatz-Standardschriftart1111111111111111111111111111111111111111111111111111"/>
    <w:qFormat/>
    <w:rPr/>
  </w:style>
  <w:style w:type="character" w:styleId="WWAbsatzStandardschriftart11111111111111111111111111111111111111111111111111111">
    <w:name w:val="WW-Absatz-Standardschriftart11111111111111111111111111111111111111111111111111111"/>
    <w:qFormat/>
    <w:rPr/>
  </w:style>
  <w:style w:type="character" w:styleId="WWAbsatzStandardschriftart111111111111111111111111111111111111111111111111111111">
    <w:name w:val="WW-Absatz-Standardschriftart111111111111111111111111111111111111111111111111111111"/>
    <w:qFormat/>
    <w:rPr/>
  </w:style>
  <w:style w:type="character" w:styleId="WWAbsatzStandardschriftart1111111111111111111111111111111111111111111111111111111">
    <w:name w:val="WW-Absatz-Standardschriftart1111111111111111111111111111111111111111111111111111111"/>
    <w:qFormat/>
    <w:rPr/>
  </w:style>
  <w:style w:type="character" w:styleId="WWAbsatzStandardschriftart11111111111111111111111111111111111111111111111111111111">
    <w:name w:val="WW-Absatz-Standardschriftart11111111111111111111111111111111111111111111111111111111"/>
    <w:qFormat/>
    <w:rPr/>
  </w:style>
  <w:style w:type="character" w:styleId="WWAbsatzStandardschriftart111111111111111111111111111111111111111111111111111111111">
    <w:name w:val="WW-Absatz-Standardschriftart111111111111111111111111111111111111111111111111111111111"/>
    <w:qFormat/>
    <w:rPr/>
  </w:style>
  <w:style w:type="character" w:styleId="WWAbsatzStandardschriftart1111111111111111111111111111111111111111111111111111111111">
    <w:name w:val="WW-Absatz-Standardschriftart1111111111111111111111111111111111111111111111111111111111"/>
    <w:qFormat/>
    <w:rPr/>
  </w:style>
  <w:style w:type="character" w:styleId="WWAbsatzStandardschriftart11111111111111111111111111111111111111111111111111111111111">
    <w:name w:val="WW-Absatz-Standardschriftart11111111111111111111111111111111111111111111111111111111111"/>
    <w:qFormat/>
    <w:rPr/>
  </w:style>
  <w:style w:type="character" w:styleId="LinkdaInternet">
    <w:name w:val="Link da Internet"/>
    <w:rPr>
      <w:color w:val="000080"/>
      <w:u w:val="single"/>
      <w:lang w:val="zxx" w:eastAsia="zxx" w:bidi="zxx"/>
    </w:rPr>
  </w:style>
  <w:style w:type="character" w:styleId="Marcas">
    <w:name w:val="Marcas"/>
    <w:qFormat/>
    <w:rPr>
      <w:rFonts w:ascii="OpenSymbol" w:hAnsi="OpenSymbol" w:eastAsia="OpenSymbol" w:cs="OpenSymbol"/>
    </w:rPr>
  </w:style>
  <w:style w:type="character" w:styleId="Fontepargpadro2">
    <w:name w:val="Fonte parág. padrão2"/>
    <w:qFormat/>
    <w:rPr/>
  </w:style>
  <w:style w:type="character" w:styleId="WWAbsatzStandardschriftart1111111111111111111111">
    <w:name w:val="WW-Absatz-Standardschriftart1111111111111111111111"/>
    <w:qFormat/>
    <w:rPr/>
  </w:style>
  <w:style w:type="character" w:styleId="WWAbsatzStandardschriftart111111111111111111111">
    <w:name w:val="WW-Absatz-Standardschriftart111111111111111111111"/>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AbsatzStandardschriftart11111111111111">
    <w:name w:val="WW-Absatz-Standardschriftart11111111111111"/>
    <w:qFormat/>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WWWW8Num1ztrue1234561111111111">
    <w:name w:val="WW-WW8Num1ztrue1234561111111111"/>
    <w:qFormat/>
    <w:rPr/>
  </w:style>
  <w:style w:type="character" w:styleId="WWWW8Num1ztrue123451111111111">
    <w:name w:val="WW-WW8Num1ztrue123451111111111"/>
    <w:qFormat/>
    <w:rPr/>
  </w:style>
  <w:style w:type="character" w:styleId="WWWW8Num1ztrue12341111111111">
    <w:name w:val="WW-WW8Num1ztrue12341111111111"/>
    <w:qFormat/>
    <w:rPr/>
  </w:style>
  <w:style w:type="character" w:styleId="WWWW8Num1ztrue1231111111111">
    <w:name w:val="WW-WW8Num1ztrue1231111111111"/>
    <w:qFormat/>
    <w:rPr/>
  </w:style>
  <w:style w:type="character" w:styleId="WWWW8Num1ztrue121111111111">
    <w:name w:val="WW-WW8Num1ztrue121111111111"/>
    <w:qFormat/>
    <w:rPr/>
  </w:style>
  <w:style w:type="character" w:styleId="WWWW8Num1ztrue11111111111">
    <w:name w:val="WW-WW8Num1ztrue11111111111"/>
    <w:qFormat/>
    <w:rPr/>
  </w:style>
  <w:style w:type="character" w:styleId="WWWW8Num1ztrue1234567111111111">
    <w:name w:val="WW-WW8Num1ztrue1234567111111111"/>
    <w:qFormat/>
    <w:rPr/>
  </w:style>
  <w:style w:type="character" w:styleId="WWWW8Num1ztrue123456111111111">
    <w:name w:val="WW-WW8Num1ztrue123456111111111"/>
    <w:qFormat/>
    <w:rPr/>
  </w:style>
  <w:style w:type="character" w:styleId="WWWW8Num1ztrue12345111111111">
    <w:name w:val="WW-WW8Num1ztrue12345111111111"/>
    <w:qFormat/>
    <w:rPr/>
  </w:style>
  <w:style w:type="character" w:styleId="WWWW8Num1ztrue1234111111111">
    <w:name w:val="WW-WW8Num1ztrue1234111111111"/>
    <w:qFormat/>
    <w:rPr/>
  </w:style>
  <w:style w:type="character" w:styleId="WWWW8Num1ztrue123111111111">
    <w:name w:val="WW-WW8Num1ztrue123111111111"/>
    <w:qFormat/>
    <w:rPr/>
  </w:style>
  <w:style w:type="character" w:styleId="WWWW8Num1ztrue12111111111">
    <w:name w:val="WW-WW8Num1ztrue12111111111"/>
    <w:qFormat/>
    <w:rPr/>
  </w:style>
  <w:style w:type="character" w:styleId="WWWW8Num1ztrue1111111111">
    <w:name w:val="WW-WW8Num1ztrue1111111111"/>
    <w:qFormat/>
    <w:rPr/>
  </w:style>
  <w:style w:type="character" w:styleId="WWWW8Num1ztrue123456711111111">
    <w:name w:val="WW-WW8Num1ztrue123456711111111"/>
    <w:qFormat/>
    <w:rPr/>
  </w:style>
  <w:style w:type="character" w:styleId="WWWW8Num1ztrue12345611111111">
    <w:name w:val="WW-WW8Num1ztrue12345611111111"/>
    <w:qFormat/>
    <w:rPr/>
  </w:style>
  <w:style w:type="character" w:styleId="WWWW8Num1ztrue1234511111111">
    <w:name w:val="WW-WW8Num1ztrue1234511111111"/>
    <w:qFormat/>
    <w:rPr/>
  </w:style>
  <w:style w:type="character" w:styleId="WWWW8Num1ztrue123411111111">
    <w:name w:val="WW-WW8Num1ztrue123411111111"/>
    <w:qFormat/>
    <w:rPr/>
  </w:style>
  <w:style w:type="character" w:styleId="WWWW8Num1ztrue12311111111">
    <w:name w:val="WW-WW8Num1ztrue12311111111"/>
    <w:qFormat/>
    <w:rPr/>
  </w:style>
  <w:style w:type="character" w:styleId="WWWW8Num1ztrue1211111111">
    <w:name w:val="WW-WW8Num1ztrue1211111111"/>
    <w:qFormat/>
    <w:rPr/>
  </w:style>
  <w:style w:type="character" w:styleId="WWWW8Num1ztrue1111111112">
    <w:name w:val="WW-WW8Num1ztrue1111111112"/>
    <w:qFormat/>
    <w:rPr/>
  </w:style>
  <w:style w:type="character" w:styleId="WWWW8Num1ztrue12345671111111">
    <w:name w:val="WW-WW8Num1ztrue12345671111111"/>
    <w:qFormat/>
    <w:rPr/>
  </w:style>
  <w:style w:type="character" w:styleId="WWWW8Num2ztrue123456111111112">
    <w:name w:val="WW-WW8Num2ztrue123456111111112"/>
    <w:qFormat/>
    <w:rPr/>
  </w:style>
  <w:style w:type="character" w:styleId="WWWW8Num2ztrue12345111111112">
    <w:name w:val="WW-WW8Num2ztrue12345111111112"/>
    <w:qFormat/>
    <w:rPr/>
  </w:style>
  <w:style w:type="character" w:styleId="WWWW8Num2ztrue1234111111112">
    <w:name w:val="WW-WW8Num2ztrue1234111111112"/>
    <w:qFormat/>
    <w:rPr/>
  </w:style>
  <w:style w:type="character" w:styleId="WWWW8Num2ztrue123111111112">
    <w:name w:val="WW-WW8Num2ztrue123111111112"/>
    <w:qFormat/>
    <w:rPr/>
  </w:style>
  <w:style w:type="character" w:styleId="WWWW8Num2ztrue12111111112">
    <w:name w:val="WW-WW8Num2ztrue12111111112"/>
    <w:qFormat/>
    <w:rPr/>
  </w:style>
  <w:style w:type="character" w:styleId="WWWW8Num2ztrue1111111112">
    <w:name w:val="WW-WW8Num2ztrue1111111112"/>
    <w:qFormat/>
    <w:rPr/>
  </w:style>
  <w:style w:type="character" w:styleId="WWWW8Num2ztrue123456711111112">
    <w:name w:val="WW-WW8Num2ztrue123456711111112"/>
    <w:qFormat/>
    <w:rPr/>
  </w:style>
  <w:style w:type="character" w:styleId="WWWW8Num1ztrue123456111111112">
    <w:name w:val="WW-WW8Num1ztrue123456111111112"/>
    <w:qFormat/>
    <w:rPr/>
  </w:style>
  <w:style w:type="character" w:styleId="WWWW8Num1ztrue12345111111112">
    <w:name w:val="WW-WW8Num1ztrue12345111111112"/>
    <w:qFormat/>
    <w:rPr/>
  </w:style>
  <w:style w:type="character" w:styleId="WWWW8Num1ztrue1234111111112">
    <w:name w:val="WW-WW8Num1ztrue1234111111112"/>
    <w:qFormat/>
    <w:rPr/>
  </w:style>
  <w:style w:type="character" w:styleId="WWWW8Num1ztrue123111111112">
    <w:name w:val="WW-WW8Num1ztrue123111111112"/>
    <w:qFormat/>
    <w:rPr/>
  </w:style>
  <w:style w:type="character" w:styleId="WWWW8Num1ztrue12111111112">
    <w:name w:val="WW-WW8Num1ztrue12111111112"/>
    <w:qFormat/>
    <w:rPr/>
  </w:style>
  <w:style w:type="character" w:styleId="WWWW8Num1ztrue11111111121">
    <w:name w:val="WW-WW8Num1ztrue11111111121"/>
    <w:qFormat/>
    <w:rPr/>
  </w:style>
  <w:style w:type="character" w:styleId="WWWW8Num1ztrue123456711111112">
    <w:name w:val="WW-WW8Num1ztrue123456711111112"/>
    <w:qFormat/>
    <w:rPr/>
  </w:style>
  <w:style w:type="character" w:styleId="WWWW8Num2ztrue12345611111112">
    <w:name w:val="WW-WW8Num2ztrue12345611111112"/>
    <w:qFormat/>
    <w:rPr/>
  </w:style>
  <w:style w:type="character" w:styleId="WWWW8Num2ztrue1234511111112">
    <w:name w:val="WW-WW8Num2ztrue1234511111112"/>
    <w:qFormat/>
    <w:rPr/>
  </w:style>
  <w:style w:type="character" w:styleId="WWWW8Num2ztrue123411111112">
    <w:name w:val="WW-WW8Num2ztrue123411111112"/>
    <w:qFormat/>
    <w:rPr/>
  </w:style>
  <w:style w:type="character" w:styleId="WWWW8Num2ztrue12311111112">
    <w:name w:val="WW-WW8Num2ztrue12311111112"/>
    <w:qFormat/>
    <w:rPr/>
  </w:style>
  <w:style w:type="character" w:styleId="WWWW8Num2ztrue1211111112">
    <w:name w:val="WW-WW8Num2ztrue1211111112"/>
    <w:qFormat/>
    <w:rPr/>
  </w:style>
  <w:style w:type="character" w:styleId="WWWW8Num2ztrue111111112">
    <w:name w:val="WW-WW8Num2ztrue111111112"/>
    <w:qFormat/>
    <w:rPr/>
  </w:style>
  <w:style w:type="character" w:styleId="WWWW8Num2ztrue12345671111112">
    <w:name w:val="WW-WW8Num2ztrue12345671111112"/>
    <w:qFormat/>
    <w:rPr/>
  </w:style>
  <w:style w:type="character" w:styleId="WWWW8Num1ztrue12345611111112">
    <w:name w:val="WW-WW8Num1ztrue12345611111112"/>
    <w:qFormat/>
    <w:rPr/>
  </w:style>
  <w:style w:type="character" w:styleId="WWWW8Num1ztrue1234511111112">
    <w:name w:val="WW-WW8Num1ztrue1234511111112"/>
    <w:qFormat/>
    <w:rPr/>
  </w:style>
  <w:style w:type="character" w:styleId="WWWW8Num1ztrue123411111112">
    <w:name w:val="WW-WW8Num1ztrue123411111112"/>
    <w:qFormat/>
    <w:rPr/>
  </w:style>
  <w:style w:type="character" w:styleId="WWWW8Num1ztrue12311111112">
    <w:name w:val="WW-WW8Num1ztrue12311111112"/>
    <w:qFormat/>
    <w:rPr/>
  </w:style>
  <w:style w:type="character" w:styleId="WWWW8Num1ztrue1211111112">
    <w:name w:val="WW-WW8Num1ztrue1211111112"/>
    <w:qFormat/>
    <w:rPr/>
  </w:style>
  <w:style w:type="character" w:styleId="WWWW8Num1ztrue111111112">
    <w:name w:val="WW-WW8Num1ztrue111111112"/>
    <w:qFormat/>
    <w:rPr/>
  </w:style>
  <w:style w:type="character" w:styleId="WWWW8Num1ztrue12345671111112">
    <w:name w:val="WW-WW8Num1ztrue12345671111112"/>
    <w:qFormat/>
    <w:rPr/>
  </w:style>
  <w:style w:type="character" w:styleId="WWWW8Num2ztrue1234561111112">
    <w:name w:val="WW-WW8Num2ztrue1234561111112"/>
    <w:qFormat/>
    <w:rPr/>
  </w:style>
  <w:style w:type="character" w:styleId="WWWW8Num2ztrue123451111112">
    <w:name w:val="WW-WW8Num2ztrue123451111112"/>
    <w:qFormat/>
    <w:rPr/>
  </w:style>
  <w:style w:type="character" w:styleId="WWWW8Num2ztrue12341111112">
    <w:name w:val="WW-WW8Num2ztrue12341111112"/>
    <w:qFormat/>
    <w:rPr/>
  </w:style>
  <w:style w:type="character" w:styleId="WWWW8Num2ztrue1231111112">
    <w:name w:val="WW-WW8Num2ztrue1231111112"/>
    <w:qFormat/>
    <w:rPr/>
  </w:style>
  <w:style w:type="character" w:styleId="WWWW8Num2ztrue121111112">
    <w:name w:val="WW-WW8Num2ztrue121111112"/>
    <w:qFormat/>
    <w:rPr/>
  </w:style>
  <w:style w:type="character" w:styleId="WWWW8Num2ztrue11111112">
    <w:name w:val="WW-WW8Num2ztrue11111112"/>
    <w:qFormat/>
    <w:rPr/>
  </w:style>
  <w:style w:type="character" w:styleId="WWWW8Num2ztrue1234567111112">
    <w:name w:val="WW-WW8Num2ztrue1234567111112"/>
    <w:qFormat/>
    <w:rPr/>
  </w:style>
  <w:style w:type="character" w:styleId="WWWW8Num1ztrue1234561111112">
    <w:name w:val="WW-WW8Num1ztrue1234561111112"/>
    <w:qFormat/>
    <w:rPr/>
  </w:style>
  <w:style w:type="character" w:styleId="WWWW8Num1ztrue123451111112">
    <w:name w:val="WW-WW8Num1ztrue123451111112"/>
    <w:qFormat/>
    <w:rPr/>
  </w:style>
  <w:style w:type="character" w:styleId="WWWW8Num1ztrue12341111112">
    <w:name w:val="WW-WW8Num1ztrue12341111112"/>
    <w:qFormat/>
    <w:rPr/>
  </w:style>
  <w:style w:type="character" w:styleId="WWWW8Num1ztrue1231111112">
    <w:name w:val="WW-WW8Num1ztrue1231111112"/>
    <w:qFormat/>
    <w:rPr/>
  </w:style>
  <w:style w:type="character" w:styleId="WWWW8Num1ztrue121111112">
    <w:name w:val="WW-WW8Num1ztrue121111112"/>
    <w:qFormat/>
    <w:rPr/>
  </w:style>
  <w:style w:type="character" w:styleId="WWWW8Num1ztrue11111112">
    <w:name w:val="WW-WW8Num1ztrue11111112"/>
    <w:qFormat/>
    <w:rPr/>
  </w:style>
  <w:style w:type="character" w:styleId="WWWW8Num1ztrue1234567111112">
    <w:name w:val="WW-WW8Num1ztrue1234567111112"/>
    <w:qFormat/>
    <w:rPr/>
  </w:style>
  <w:style w:type="character" w:styleId="WWWW8Num2ztrue123456111112">
    <w:name w:val="WW-WW8Num2ztrue123456111112"/>
    <w:qFormat/>
    <w:rPr/>
  </w:style>
  <w:style w:type="character" w:styleId="WWWW8Num2ztrue12345111112">
    <w:name w:val="WW-WW8Num2ztrue12345111112"/>
    <w:qFormat/>
    <w:rPr/>
  </w:style>
  <w:style w:type="character" w:styleId="WWWW8Num2ztrue1234111112">
    <w:name w:val="WW-WW8Num2ztrue1234111112"/>
    <w:qFormat/>
    <w:rPr/>
  </w:style>
  <w:style w:type="character" w:styleId="WWWW8Num2ztrue123111112">
    <w:name w:val="WW-WW8Num2ztrue123111112"/>
    <w:qFormat/>
    <w:rPr/>
  </w:style>
  <w:style w:type="character" w:styleId="WWWW8Num2ztrue12111112">
    <w:name w:val="WW-WW8Num2ztrue12111112"/>
    <w:qFormat/>
    <w:rPr/>
  </w:style>
  <w:style w:type="character" w:styleId="WWWW8Num2ztrue1111112">
    <w:name w:val="WW-WW8Num2ztrue1111112"/>
    <w:qFormat/>
    <w:rPr/>
  </w:style>
  <w:style w:type="character" w:styleId="WWWW8Num2ztrue123456711112">
    <w:name w:val="WW-WW8Num2ztrue123456711112"/>
    <w:qFormat/>
    <w:rPr/>
  </w:style>
  <w:style w:type="character" w:styleId="WWWW8Num1ztrue123456111112">
    <w:name w:val="WW-WW8Num1ztrue123456111112"/>
    <w:qFormat/>
    <w:rPr/>
  </w:style>
  <w:style w:type="character" w:styleId="WWWW8Num1ztrue12345111112">
    <w:name w:val="WW-WW8Num1ztrue12345111112"/>
    <w:qFormat/>
    <w:rPr/>
  </w:style>
  <w:style w:type="character" w:styleId="WWWW8Num1ztrue1234111112">
    <w:name w:val="WW-WW8Num1ztrue1234111112"/>
    <w:qFormat/>
    <w:rPr/>
  </w:style>
  <w:style w:type="character" w:styleId="WWWW8Num1ztrue123111112">
    <w:name w:val="WW-WW8Num1ztrue123111112"/>
    <w:qFormat/>
    <w:rPr/>
  </w:style>
  <w:style w:type="character" w:styleId="WWWW8Num1ztrue12111112">
    <w:name w:val="WW-WW8Num1ztrue12111112"/>
    <w:qFormat/>
    <w:rPr/>
  </w:style>
  <w:style w:type="character" w:styleId="WWWW8Num1ztrue1111112">
    <w:name w:val="WW-WW8Num1ztrue1111112"/>
    <w:qFormat/>
    <w:rPr/>
  </w:style>
  <w:style w:type="character" w:styleId="WWWW8Num1ztrue123456711112">
    <w:name w:val="WW-WW8Num1ztrue123456711112"/>
    <w:qFormat/>
    <w:rPr/>
  </w:style>
  <w:style w:type="character" w:styleId="WWWW8Num2ztrue12345611112">
    <w:name w:val="WW-WW8Num2ztrue12345611112"/>
    <w:qFormat/>
    <w:rPr/>
  </w:style>
  <w:style w:type="character" w:styleId="WWWW8Num2ztrue1234511112">
    <w:name w:val="WW-WW8Num2ztrue1234511112"/>
    <w:qFormat/>
    <w:rPr/>
  </w:style>
  <w:style w:type="character" w:styleId="WWWW8Num2ztrue123411112">
    <w:name w:val="WW-WW8Num2ztrue123411112"/>
    <w:qFormat/>
    <w:rPr/>
  </w:style>
  <w:style w:type="character" w:styleId="WWWW8Num2ztrue12311112">
    <w:name w:val="WW-WW8Num2ztrue12311112"/>
    <w:qFormat/>
    <w:rPr/>
  </w:style>
  <w:style w:type="character" w:styleId="WWWW8Num2ztrue1211112">
    <w:name w:val="WW-WW8Num2ztrue1211112"/>
    <w:qFormat/>
    <w:rPr/>
  </w:style>
  <w:style w:type="character" w:styleId="WWWW8Num2ztrue111112">
    <w:name w:val="WW-WW8Num2ztrue111112"/>
    <w:qFormat/>
    <w:rPr/>
  </w:style>
  <w:style w:type="character" w:styleId="WWWW8Num2ztrue12345671112">
    <w:name w:val="WW-WW8Num2ztrue12345671112"/>
    <w:qFormat/>
    <w:rPr/>
  </w:style>
  <w:style w:type="character" w:styleId="WWWW8Num1ztrue12345611112">
    <w:name w:val="WW-WW8Num1ztrue12345611112"/>
    <w:qFormat/>
    <w:rPr/>
  </w:style>
  <w:style w:type="character" w:styleId="WWWW8Num1ztrue1234511112">
    <w:name w:val="WW-WW8Num1ztrue1234511112"/>
    <w:qFormat/>
    <w:rPr/>
  </w:style>
  <w:style w:type="character" w:styleId="WWWW8Num1ztrue123411112">
    <w:name w:val="WW-WW8Num1ztrue123411112"/>
    <w:qFormat/>
    <w:rPr/>
  </w:style>
  <w:style w:type="character" w:styleId="WWWW8Num1ztrue12311112">
    <w:name w:val="WW-WW8Num1ztrue12311112"/>
    <w:qFormat/>
    <w:rPr/>
  </w:style>
  <w:style w:type="character" w:styleId="WWWW8Num1ztrue1211112">
    <w:name w:val="WW-WW8Num1ztrue1211112"/>
    <w:qFormat/>
    <w:rPr/>
  </w:style>
  <w:style w:type="character" w:styleId="WWWW8Num1ztrue111112">
    <w:name w:val="WW-WW8Num1ztrue111112"/>
    <w:qFormat/>
    <w:rPr/>
  </w:style>
  <w:style w:type="character" w:styleId="WWWW8Num1ztrue12345671112">
    <w:name w:val="WW-WW8Num1ztrue12345671112"/>
    <w:qFormat/>
    <w:rPr/>
  </w:style>
  <w:style w:type="character" w:styleId="WWWW8Num2ztrue1234561112">
    <w:name w:val="WW-WW8Num2ztrue1234561112"/>
    <w:qFormat/>
    <w:rPr/>
  </w:style>
  <w:style w:type="character" w:styleId="WWWW8Num2ztrue123451112">
    <w:name w:val="WW-WW8Num2ztrue123451112"/>
    <w:qFormat/>
    <w:rPr/>
  </w:style>
  <w:style w:type="character" w:styleId="WWWW8Num2ztrue12341112">
    <w:name w:val="WW-WW8Num2ztrue12341112"/>
    <w:qFormat/>
    <w:rPr/>
  </w:style>
  <w:style w:type="character" w:styleId="WWWW8Num2ztrue1231112">
    <w:name w:val="WW-WW8Num2ztrue1231112"/>
    <w:qFormat/>
    <w:rPr/>
  </w:style>
  <w:style w:type="character" w:styleId="WWWW8Num2ztrue121112">
    <w:name w:val="WW-WW8Num2ztrue121112"/>
    <w:qFormat/>
    <w:rPr/>
  </w:style>
  <w:style w:type="character" w:styleId="WWWW8Num2ztrue11112">
    <w:name w:val="WW-WW8Num2ztrue11112"/>
    <w:qFormat/>
    <w:rPr/>
  </w:style>
  <w:style w:type="character" w:styleId="WWWW8Num2ztrue1234567112">
    <w:name w:val="WW-WW8Num2ztrue1234567112"/>
    <w:qFormat/>
    <w:rPr/>
  </w:style>
  <w:style w:type="character" w:styleId="WWWW8Num1ztrue1234561112">
    <w:name w:val="WW-WW8Num1ztrue1234561112"/>
    <w:qFormat/>
    <w:rPr/>
  </w:style>
  <w:style w:type="character" w:styleId="WWWW8Num1ztrue123451112">
    <w:name w:val="WW-WW8Num1ztrue123451112"/>
    <w:qFormat/>
    <w:rPr/>
  </w:style>
  <w:style w:type="character" w:styleId="WWWW8Num1ztrue12341112">
    <w:name w:val="WW-WW8Num1ztrue12341112"/>
    <w:qFormat/>
    <w:rPr/>
  </w:style>
  <w:style w:type="character" w:styleId="WWWW8Num1ztrue1231112">
    <w:name w:val="WW-WW8Num1ztrue1231112"/>
    <w:qFormat/>
    <w:rPr/>
  </w:style>
  <w:style w:type="character" w:styleId="WWWW8Num1ztrue121112">
    <w:name w:val="WW-WW8Num1ztrue121112"/>
    <w:qFormat/>
    <w:rPr/>
  </w:style>
  <w:style w:type="character" w:styleId="WWWW8Num1ztrue11112">
    <w:name w:val="WW-WW8Num1ztrue11112"/>
    <w:qFormat/>
    <w:rPr/>
  </w:style>
  <w:style w:type="character" w:styleId="WWWW8Num1ztrue1234567112">
    <w:name w:val="WW-WW8Num1ztrue1234567112"/>
    <w:qFormat/>
    <w:rPr/>
  </w:style>
  <w:style w:type="character" w:styleId="WWWW8Num2ztrue123456112">
    <w:name w:val="WW-WW8Num2ztrue123456112"/>
    <w:qFormat/>
    <w:rPr/>
  </w:style>
  <w:style w:type="character" w:styleId="WWWW8Num2ztrue12345112">
    <w:name w:val="WW-WW8Num2ztrue12345112"/>
    <w:qFormat/>
    <w:rPr/>
  </w:style>
  <w:style w:type="character" w:styleId="WWWW8Num2ztrue1234112">
    <w:name w:val="WW-WW8Num2ztrue1234112"/>
    <w:qFormat/>
    <w:rPr/>
  </w:style>
  <w:style w:type="character" w:styleId="WWWW8Num2ztrue123112">
    <w:name w:val="WW-WW8Num2ztrue123112"/>
    <w:qFormat/>
    <w:rPr/>
  </w:style>
  <w:style w:type="character" w:styleId="WWWW8Num2ztrue12112">
    <w:name w:val="WW-WW8Num2ztrue12112"/>
    <w:qFormat/>
    <w:rPr/>
  </w:style>
  <w:style w:type="character" w:styleId="WWWW8Num2ztrue1112">
    <w:name w:val="WW-WW8Num2ztrue1112"/>
    <w:qFormat/>
    <w:rPr/>
  </w:style>
  <w:style w:type="character" w:styleId="WWWW8Num2ztrue123456712">
    <w:name w:val="WW-WW8Num2ztrue123456712"/>
    <w:qFormat/>
    <w:rPr/>
  </w:style>
  <w:style w:type="character" w:styleId="WWWW8Num1ztrue123456112">
    <w:name w:val="WW-WW8Num1ztrue123456112"/>
    <w:qFormat/>
    <w:rPr/>
  </w:style>
  <w:style w:type="character" w:styleId="WWWW8Num1ztrue12345112">
    <w:name w:val="WW-WW8Num1ztrue12345112"/>
    <w:qFormat/>
    <w:rPr/>
  </w:style>
  <w:style w:type="character" w:styleId="WWWW8Num1ztrue1234112">
    <w:name w:val="WW-WW8Num1ztrue1234112"/>
    <w:qFormat/>
    <w:rPr/>
  </w:style>
  <w:style w:type="character" w:styleId="WWWW8Num1ztrue123112">
    <w:name w:val="WW-WW8Num1ztrue123112"/>
    <w:qFormat/>
    <w:rPr/>
  </w:style>
  <w:style w:type="character" w:styleId="WWWW8Num1ztrue12112">
    <w:name w:val="WW-WW8Num1ztrue12112"/>
    <w:qFormat/>
    <w:rPr/>
  </w:style>
  <w:style w:type="character" w:styleId="WWWW8Num1ztrue1112">
    <w:name w:val="WW-WW8Num1ztrue1112"/>
    <w:qFormat/>
    <w:rPr/>
  </w:style>
  <w:style w:type="character" w:styleId="WWWW8Num1ztrue123456712">
    <w:name w:val="WW-WW8Num1ztrue123456712"/>
    <w:qFormat/>
    <w:rPr/>
  </w:style>
  <w:style w:type="character" w:styleId="Fontepargpadro1">
    <w:name w:val="Fonte parág. padrão1"/>
    <w:qFormat/>
    <w:rPr/>
  </w:style>
  <w:style w:type="character" w:styleId="Citao1">
    <w:name w:val="Citação1"/>
    <w:qFormat/>
    <w:rPr>
      <w:i/>
      <w:iCs/>
    </w:rPr>
  </w:style>
  <w:style w:type="character" w:styleId="ListLabel1">
    <w:name w:val="ListLabel 1"/>
    <w:qFormat/>
    <w:rPr>
      <w:rFonts w:ascii="Times New Roman" w:hAnsi="Times New Roman" w:cs="OpenSymbol"/>
      <w:b/>
      <w:caps w:val="false"/>
      <w:smallCaps w:val="false"/>
      <w:strike w:val="false"/>
      <w:dstrike w:val="false"/>
      <w:position w:val="0"/>
      <w:sz w:val="22"/>
      <w:sz w:val="22"/>
      <w:vertAlign w:val="baseline"/>
      <w:lang w:val="pt-BR"/>
    </w:rPr>
  </w:style>
  <w:style w:type="character" w:styleId="ListLabel2">
    <w:name w:val="ListLabel 2"/>
    <w:qFormat/>
    <w:rPr>
      <w:rFonts w:cs="OpenSymbol"/>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TextodebaloChar">
    <w:name w:val="Texto de balão Char"/>
    <w:basedOn w:val="DefaultParagraphFont"/>
    <w:qFormat/>
    <w:rPr>
      <w:rFonts w:ascii="Tahoma" w:hAnsi="Tahoma" w:eastAsia="SimSun" w:cs="Mangal"/>
      <w:sz w:val="16"/>
      <w:szCs w:val="14"/>
      <w:lang w:eastAsia="zh-CN" w:bidi="hi-IN"/>
    </w:rPr>
  </w:style>
  <w:style w:type="character" w:styleId="ListLabel3">
    <w:name w:val="ListLabel 3"/>
    <w:qFormat/>
    <w:rPr>
      <w:rFonts w:ascii="Times New Roman" w:hAnsi="Times New Roman" w:cs="OpenSymbol"/>
      <w:b/>
      <w:caps w:val="false"/>
      <w:smallCaps w:val="false"/>
      <w:strike w:val="false"/>
      <w:dstrike w:val="false"/>
      <w:position w:val="0"/>
      <w:sz w:val="22"/>
      <w:sz w:val="22"/>
      <w:vertAlign w:val="baseline"/>
      <w:lang w:val="pt-BR"/>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b/>
      <w:caps w:val="false"/>
      <w:smallCaps w:val="false"/>
      <w:strike w:val="false"/>
      <w:dstrike w:val="false"/>
      <w:position w:val="0"/>
      <w:sz w:val="22"/>
      <w:sz w:val="22"/>
      <w:vertAlign w:val="baseline"/>
      <w:lang w:val="pt-BR"/>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b/>
      <w:caps w:val="false"/>
      <w:smallCaps w:val="false"/>
      <w:strike w:val="false"/>
      <w:dstrike w:val="false"/>
      <w:position w:val="0"/>
      <w:sz w:val="22"/>
      <w:sz w:val="22"/>
      <w:vertAlign w:val="baseline"/>
      <w:lang w:val="pt-BR"/>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b/>
      <w:caps w:val="false"/>
      <w:smallCaps w:val="false"/>
      <w:strike w:val="false"/>
      <w:dstrike w:val="false"/>
      <w:position w:val="0"/>
      <w:sz w:val="22"/>
      <w:sz w:val="22"/>
      <w:vertAlign w:val="baseline"/>
      <w:lang w:val="pt-BR"/>
    </w:rPr>
  </w:style>
  <w:style w:type="character" w:styleId="ListLabel13">
    <w:name w:val="ListLabel 13"/>
    <w:qFormat/>
    <w:rPr>
      <w:rFonts w:cs="OpenSymbol"/>
    </w:rPr>
  </w:style>
  <w:style w:type="character" w:styleId="ListLabel14">
    <w:name w:val="ListLabel 14"/>
    <w:qFormat/>
    <w:rPr>
      <w:rFonts w:cs="Symbol"/>
      <w:b/>
      <w:caps w:val="false"/>
      <w:smallCaps w:val="false"/>
      <w:strike w:val="false"/>
      <w:dstrike w:val="false"/>
      <w:position w:val="0"/>
      <w:sz w:val="22"/>
      <w:sz w:val="22"/>
      <w:vertAlign w:val="baseline"/>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Symbol"/>
      <w:b/>
      <w:caps w:val="false"/>
      <w:smallCaps w:val="false"/>
      <w:strike w:val="false"/>
      <w:dstrike w:val="false"/>
      <w:position w:val="0"/>
      <w:sz w:val="22"/>
      <w:sz w:val="22"/>
      <w:vertAlign w:val="baseline"/>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Symbol"/>
      <w:b/>
      <w:caps w:val="false"/>
      <w:smallCaps w:val="false"/>
      <w:strike w:val="false"/>
      <w:dstrike w:val="false"/>
      <w:position w:val="0"/>
      <w:sz w:val="22"/>
      <w:sz w:val="22"/>
      <w:vertAlign w:val="baseline"/>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Symbol"/>
      <w:b/>
      <w:caps w:val="false"/>
      <w:smallCaps w:val="false"/>
      <w:strike w:val="false"/>
      <w:dstrike w:val="false"/>
      <w:position w:val="0"/>
      <w:sz w:val="22"/>
      <w:sz w:val="22"/>
      <w:vertAlign w:val="baseline"/>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Symbol"/>
      <w:b/>
      <w:caps w:val="false"/>
      <w:smallCaps w:val="false"/>
      <w:strike w:val="false"/>
      <w:dstrike w:val="false"/>
      <w:position w:val="0"/>
      <w:sz w:val="22"/>
      <w:sz w:val="22"/>
      <w:vertAlign w:val="baseline"/>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Symbol"/>
      <w:b/>
      <w:caps w:val="false"/>
      <w:smallCaps w:val="false"/>
      <w:strike w:val="false"/>
      <w:dstrike w:val="false"/>
      <w:position w:val="0"/>
      <w:sz w:val="22"/>
      <w:sz w:val="22"/>
      <w:vertAlign w:val="baseline"/>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Symbol"/>
      <w:b/>
      <w:caps w:val="false"/>
      <w:smallCaps w:val="false"/>
      <w:strike w:val="false"/>
      <w:dstrike w:val="false"/>
      <w:position w:val="0"/>
      <w:sz w:val="22"/>
      <w:sz w:val="22"/>
      <w:vertAlign w:val="baseline"/>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Symbol"/>
      <w:b/>
      <w:caps w:val="false"/>
      <w:smallCaps w:val="false"/>
      <w:strike w:val="false"/>
      <w:dstrike w:val="false"/>
      <w:position w:val="0"/>
      <w:sz w:val="22"/>
      <w:sz w:val="22"/>
      <w:vertAlign w:val="baseline"/>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Symbol"/>
      <w:b/>
      <w:caps w:val="false"/>
      <w:smallCaps w:val="false"/>
      <w:strike w:val="false"/>
      <w:dstrike w:val="false"/>
      <w:position w:val="0"/>
      <w:sz w:val="22"/>
      <w:sz w:val="22"/>
      <w:vertAlign w:val="baseline"/>
    </w:rPr>
  </w:style>
  <w:style w:type="character" w:styleId="ListLabel39">
    <w:name w:val="ListLabel 39"/>
    <w:qFormat/>
    <w:rPr>
      <w:rFonts w:cs="OpenSymbol"/>
    </w:rPr>
  </w:style>
  <w:style w:type="character" w:styleId="ListLabel40">
    <w:name w:val="ListLabel 40"/>
    <w:qFormat/>
    <w:rPr>
      <w:rFonts w:cs="OpenSymbol"/>
    </w:rPr>
  </w:style>
  <w:style w:type="character" w:styleId="Ncoradenotadefim">
    <w:name w:val="Âncora de nota de fim"/>
    <w:qFormat/>
    <w:rPr>
      <w:vertAlign w:val="superscript"/>
    </w:rPr>
  </w:style>
  <w:style w:type="character" w:styleId="Ncoradenotaderodap">
    <w:name w:val="Âncora de nota de rodapé"/>
    <w:qFormat/>
    <w:rPr>
      <w:vertAlign w:val="superscript"/>
    </w:rPr>
  </w:style>
  <w:style w:type="character" w:styleId="Smbolosdenumerao">
    <w:name w:val="Símbolos de numeração"/>
    <w:qFormat/>
    <w:rPr/>
  </w:style>
  <w:style w:type="character" w:styleId="Fontepargpadro">
    <w:name w:val="Fonte parág. padrão"/>
    <w:qFormat/>
    <w:rPr/>
  </w:style>
  <w:style w:type="character" w:styleId="WWAbsatzStandardschriftart11111111111111111111111111111111111111111111111111111111111111">
    <w:name w:val="WW-Absatz-Standardschriftart11111111111111111111111111111111111111111111111111111111111111"/>
    <w:qFormat/>
    <w:rPr/>
  </w:style>
  <w:style w:type="character" w:styleId="WWAbsatzStandardschriftart1111111111111111111111111111111111111111111111111111111111111">
    <w:name w:val="WW-Absatz-Standardschriftart1111111111111111111111111111111111111111111111111111111111111"/>
    <w:qFormat/>
    <w:rPr/>
  </w:style>
  <w:style w:type="character" w:styleId="WWAbsatzStandardschriftart111111111111111111111111111111111111111111111111111111111111">
    <w:name w:val="WW-Absatz-Standardschriftart111111111111111111111111111111111111111111111111111111111111"/>
    <w:qFormat/>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bidi w:val="0"/>
      <w:jc w:val="left"/>
    </w:pPr>
    <w:rPr>
      <w:rFonts w:ascii="Liberation Serif" w:hAnsi="Liberation Serif" w:eastAsia="SimSun" w:cs="Mangal"/>
      <w:color w:val="00000A"/>
      <w:sz w:val="20"/>
      <w:szCs w:val="24"/>
      <w:lang w:val="pt-BR" w:eastAsia="zh-CN" w:bidi="hi-IN"/>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orpodotexto">
    <w:name w:val="Corpo do texto"/>
    <w:basedOn w:val="Normal"/>
    <w:qFormat/>
    <w:pPr>
      <w:spacing w:before="0" w:after="120"/>
    </w:pPr>
    <w:rPr/>
  </w:style>
  <w:style w:type="paragraph" w:styleId="Ttuloprincipal">
    <w:name w:val="Título principal"/>
    <w:basedOn w:val="Normal"/>
    <w:qFormat/>
    <w:pPr>
      <w:keepNext/>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i/>
      <w:iCs/>
    </w:rPr>
  </w:style>
  <w:style w:type="paragraph" w:styleId="Ttulo11">
    <w:name w:val="Título1"/>
    <w:basedOn w:val="Normal"/>
    <w:qFormat/>
    <w:pPr>
      <w:keepNext/>
      <w:spacing w:before="240" w:after="120"/>
    </w:pPr>
    <w:rPr>
      <w:rFonts w:eastAsia="Microsoft YaHei"/>
      <w:sz w:val="28"/>
      <w:szCs w:val="28"/>
    </w:rPr>
  </w:style>
  <w:style w:type="paragraph" w:styleId="Captulo">
    <w:name w:val="Capítulo"/>
    <w:basedOn w:val="Normal"/>
    <w:qFormat/>
    <w:pPr>
      <w:keepNext/>
      <w:spacing w:before="240" w:after="120"/>
    </w:pPr>
    <w:rPr>
      <w:rFonts w:ascii="Arial" w:hAnsi="Arial" w:eastAsia="MS Mincho" w:cs="Tahoma"/>
      <w:sz w:val="28"/>
      <w:szCs w:val="28"/>
    </w:rPr>
  </w:style>
  <w:style w:type="paragraph" w:styleId="Contedodetabela">
    <w:name w:val="Conteúdo de tabela"/>
    <w:basedOn w:val="Normal"/>
    <w:qFormat/>
    <w:pPr>
      <w:suppressLineNumbers/>
    </w:pPr>
    <w:rPr/>
  </w:style>
  <w:style w:type="paragraph" w:styleId="Footnotetext">
    <w:name w:val="footnote text"/>
    <w:basedOn w:val="Normal"/>
    <w:qFormat/>
    <w:pPr>
      <w:suppressLineNumbers/>
      <w:ind w:left="339" w:right="0" w:hanging="339"/>
    </w:pPr>
    <w:rPr>
      <w:sz w:val="20"/>
      <w:szCs w:val="20"/>
    </w:rPr>
  </w:style>
  <w:style w:type="paragraph" w:styleId="Rule">
    <w:name w:val="Rule"/>
    <w:basedOn w:val="Normal"/>
    <w:qFormat/>
    <w:pPr>
      <w:widowControl/>
      <w:pBdr>
        <w:bottom w:val="single" w:sz="4" w:space="0" w:color="808080"/>
      </w:pBdr>
      <w:suppressAutoHyphens w:val="false"/>
      <w:spacing w:before="0" w:after="240"/>
    </w:pPr>
    <w:rPr>
      <w:rFonts w:ascii="Century Gothic" w:hAnsi="Century Gothic" w:eastAsia="Times New Roman" w:cs="Century Gothic"/>
      <w:sz w:val="16"/>
      <w:szCs w:val="16"/>
      <w:lang w:val="pt-PT" w:bidi="pt-PT"/>
    </w:rPr>
  </w:style>
  <w:style w:type="paragraph" w:styleId="ListParagraph">
    <w:name w:val="List Paragraph"/>
    <w:basedOn w:val="Normal"/>
    <w:qFormat/>
    <w:pPr>
      <w:spacing w:before="0" w:after="0"/>
      <w:ind w:left="720" w:right="0" w:hanging="0"/>
      <w:contextualSpacing/>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jc w:val="center"/>
    </w:pPr>
    <w:rPr>
      <w:b/>
      <w:bCs/>
    </w:rPr>
  </w:style>
  <w:style w:type="paragraph" w:styleId="WWTtulo">
    <w:name w:val="WW-Título"/>
    <w:basedOn w:val="Normal"/>
    <w:qFormat/>
    <w:pPr>
      <w:keepNext/>
      <w:spacing w:before="240" w:after="120"/>
    </w:pPr>
    <w:rPr>
      <w:rFonts w:ascii="Arial" w:hAnsi="Arial" w:cs="Tahoma"/>
      <w:sz w:val="28"/>
      <w:szCs w:val="28"/>
    </w:rPr>
  </w:style>
  <w:style w:type="paragraph" w:styleId="WWTtulo1">
    <w:name w:val="WW-Título1"/>
    <w:basedOn w:val="Normal"/>
    <w:qFormat/>
    <w:pPr>
      <w:keepNext/>
      <w:spacing w:before="240" w:after="120"/>
    </w:pPr>
    <w:rPr>
      <w:rFonts w:ascii="Arial" w:hAnsi="Arial" w:cs="Tahoma"/>
      <w:sz w:val="28"/>
      <w:szCs w:val="28"/>
    </w:rPr>
  </w:style>
  <w:style w:type="paragraph" w:styleId="Ttulo10">
    <w:name w:val="Título 10"/>
    <w:basedOn w:val="Captulo"/>
    <w:qFormat/>
    <w:pPr/>
    <w:rPr>
      <w:b/>
      <w:bCs/>
      <w:sz w:val="21"/>
      <w:szCs w:val="21"/>
    </w:rPr>
  </w:style>
  <w:style w:type="paragraph" w:styleId="Recuodecorpodetexto21">
    <w:name w:val="Recuo de corpo de texto 21"/>
    <w:basedOn w:val="Normal"/>
    <w:qFormat/>
    <w:pPr>
      <w:ind w:left="0" w:right="0" w:firstLine="1985"/>
    </w:pPr>
    <w:rPr>
      <w:sz w:val="28"/>
    </w:rPr>
  </w:style>
  <w:style w:type="paragraph" w:styleId="Corpodetexto21">
    <w:name w:val="Corpo de texto 21"/>
    <w:basedOn w:val="Normal"/>
    <w:qFormat/>
    <w:pPr/>
    <w:rPr>
      <w:rFonts w:ascii="Arial" w:hAnsi="Arial" w:cs="Arial"/>
      <w:sz w:val="28"/>
    </w:rPr>
  </w:style>
  <w:style w:type="paragraph" w:styleId="Corpodetextorecuado">
    <w:name w:val="Body Text Indent"/>
    <w:basedOn w:val="Normal"/>
    <w:pPr>
      <w:ind w:left="0" w:right="0" w:firstLine="1985"/>
      <w:jc w:val="both"/>
    </w:pPr>
    <w:rPr>
      <w:rFonts w:ascii="Arial" w:hAnsi="Arial" w:cs="Arial"/>
    </w:rPr>
  </w:style>
  <w:style w:type="paragraph" w:styleId="Rodap">
    <w:name w:val="Footer"/>
    <w:basedOn w:val="Normal"/>
    <w:pPr>
      <w:tabs>
        <w:tab w:val="center" w:pos="4419" w:leader="none"/>
        <w:tab w:val="right" w:pos="8838" w:leader="none"/>
      </w:tabs>
    </w:pPr>
    <w:rPr/>
  </w:style>
  <w:style w:type="paragraph" w:styleId="Cabealho">
    <w:name w:val="Header"/>
    <w:basedOn w:val="Normal"/>
    <w:pPr>
      <w:tabs>
        <w:tab w:val="center" w:pos="4419" w:leader="none"/>
        <w:tab w:val="right" w:pos="8838" w:leader="none"/>
      </w:tabs>
    </w:pPr>
    <w:rPr/>
  </w:style>
  <w:style w:type="paragraph" w:styleId="Subttulo">
    <w:name w:val="Subtitle"/>
    <w:basedOn w:val="Captulo"/>
    <w:qFormat/>
    <w:pPr>
      <w:jc w:val="center"/>
    </w:pPr>
    <w:rPr>
      <w:i/>
      <w:iCs/>
    </w:rPr>
  </w:style>
  <w:style w:type="paragraph" w:styleId="StudentInformation">
    <w:name w:val="Student Information"/>
    <w:basedOn w:val="Normal"/>
    <w:qFormat/>
    <w:pPr>
      <w:widowControl/>
      <w:suppressAutoHyphens w:val="false"/>
    </w:pPr>
    <w:rPr>
      <w:rFonts w:ascii="Century Gothic" w:hAnsi="Century Gothic" w:eastAsia="Times New Roman" w:cs="Century Gothic"/>
      <w:sz w:val="18"/>
      <w:szCs w:val="18"/>
      <w:lang w:val="pt-PT" w:bidi="pt-PT"/>
    </w:rPr>
  </w:style>
  <w:style w:type="paragraph" w:styleId="Contedodoquadro">
    <w:name w:val="Conteúdo do quadro"/>
    <w:basedOn w:val="Normal"/>
    <w:qFormat/>
    <w:pPr/>
    <w:rPr/>
  </w:style>
  <w:style w:type="paragraph" w:styleId="Notaderodap">
    <w:name w:val="Footnote Text"/>
    <w:basedOn w:val="Normal"/>
    <w:pPr/>
    <w:rPr/>
  </w:style>
  <w:style w:type="paragraph" w:styleId="BalloonText">
    <w:name w:val="Balloon Text"/>
    <w:basedOn w:val="Normal"/>
    <w:qFormat/>
    <w:pPr/>
    <w:rPr>
      <w:rFonts w:ascii="Tahoma" w:hAnsi="Tahoma"/>
      <w:sz w:val="16"/>
      <w:szCs w:val="14"/>
    </w:rPr>
  </w:style>
  <w:style w:type="paragraph" w:styleId="Textodebalo">
    <w:name w:val="Texto de balão"/>
    <w:basedOn w:val="Normal"/>
    <w:qFormat/>
    <w:pPr/>
    <w:rPr>
      <w:rFonts w:ascii="Tahoma" w:hAnsi="Tahoma" w:cs="Tahoma"/>
      <w:sz w:val="16"/>
      <w:szCs w:val="16"/>
    </w:rPr>
  </w:style>
  <w:style w:type="paragraph" w:styleId="Legenda1">
    <w:name w:val="Legenda1"/>
    <w:basedOn w:val="Normal"/>
    <w:qFormat/>
    <w:pPr>
      <w:suppressLineNumbers/>
      <w:spacing w:before="120" w:after="120"/>
    </w:pPr>
    <w:rPr>
      <w:rFonts w:cs="Tahoma"/>
      <w:i/>
      <w:iCs/>
      <w:sz w:val="24"/>
      <w:szCs w:val="24"/>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180</TotalTime>
  <Application>LibreOffice/5.2.4.2$Windows_x86 LibreOffice_project/3d5603e1122f0f102b62521720ab13a38a4e0eb0</Application>
  <Pages>14</Pages>
  <Words>4870</Words>
  <Characters>27106</Characters>
  <CharactersWithSpaces>32229</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2018-07-18T13:34:00Z</dcterms:created>
  <dc:creator>Allana Rachel M B S Costa</dc:creator>
  <dc:description/>
  <dc:language>pt</dc:language>
  <cp:lastModifiedBy/>
  <cp:lastPrinted>2018-07-18T11:00:16Z</cp:lastPrinted>
  <dcterms:modified xsi:type="dcterms:W3CDTF">2018-10-02T08:00:19Z</dcterms:modified>
  <cp:revision>9</cp:revision>
  <dc:subject/>
  <dc:title/>
</cp:coreProperties>
</file>