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footnotes.xml" ContentType="application/vnd.openxmlformats-officedocument.wordprocessingml.footnotes+xml"/>
  <Override PartName="/word/media/image2.jpeg" ContentType="image/jpeg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object>
          <v:shape id="ole_rId2" style="width:64.35pt;height:66.7pt" o:ole="">
            <v:imagedata r:id="rId3" o:title=""/>
          </v:shape>
          <o:OLEObject Type="Embed" ProgID="" ShapeID="ole_rId2" DrawAspect="Content" ObjectID="_1653395325" r:id="rId2"/>
        </w:object>
      </w:r>
    </w:p>
    <w:p>
      <w:pPr>
        <w:pStyle w:val="Standard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MINISTÉRIO PÚBLICO DO ESTADO DE SERGIPE</w:t>
      </w:r>
    </w:p>
    <w:p>
      <w:pPr>
        <w:pStyle w:val="Standard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CORREGEDORIA GERAL</w:t>
      </w:r>
    </w:p>
    <w:p>
      <w:pPr>
        <w:pStyle w:val="Standard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Standard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RELATÓRIO DE CORREIÇÃO ORDINÁRIA Nº 21/2019</w:t>
      </w:r>
    </w:p>
    <w:p>
      <w:pPr>
        <w:pStyle w:val="Standard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Standard"/>
        <w:spacing w:lineRule="auto" w:line="360"/>
        <w:jc w:val="both"/>
        <w:rPr/>
      </w:pPr>
      <w:r>
        <w:rPr>
          <w:sz w:val="20"/>
          <w:szCs w:val="20"/>
        </w:rPr>
        <w:t>DATA DA VISITA:</w:t>
      </w:r>
      <w:r>
        <w:rPr>
          <w:b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07/05/2019</w:t>
      </w:r>
    </w:p>
    <w:p>
      <w:pPr>
        <w:pStyle w:val="Standard"/>
        <w:spacing w:lineRule="auto" w:line="360"/>
        <w:jc w:val="both"/>
        <w:rPr/>
      </w:pPr>
      <w:r>
        <w:rPr>
          <w:sz w:val="20"/>
          <w:szCs w:val="20"/>
        </w:rPr>
        <w:t xml:space="preserve">PROMOTOR DE JUSTIÇA: </w:t>
      </w:r>
      <w:r>
        <w:rPr>
          <w:b/>
          <w:bCs/>
          <w:sz w:val="20"/>
          <w:szCs w:val="20"/>
        </w:rPr>
        <w:t>Cláudio Roberto Alfredo de Sousa</w:t>
      </w:r>
    </w:p>
    <w:p>
      <w:pPr>
        <w:pStyle w:val="Standard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  <w:t>(X) TITULAR</w:t>
        <w:tab/>
        <w:t>(   ) SUBSTITUTO</w:t>
      </w:r>
    </w:p>
    <w:p>
      <w:pPr>
        <w:pStyle w:val="Standard"/>
        <w:spacing w:lineRule="auto" w:line="360"/>
        <w:jc w:val="both"/>
        <w:rPr/>
      </w:pPr>
      <w:r>
        <w:rPr>
          <w:sz w:val="20"/>
          <w:szCs w:val="20"/>
        </w:rPr>
        <w:t xml:space="preserve">PROMOTORIA DE JUSTIÇA: </w:t>
      </w:r>
      <w:r>
        <w:rPr>
          <w:b/>
          <w:bCs/>
          <w:sz w:val="20"/>
          <w:szCs w:val="20"/>
        </w:rPr>
        <w:t xml:space="preserve">2ª Promotoria de Justiça de Neópolis </w:t>
      </w:r>
    </w:p>
    <w:p>
      <w:pPr>
        <w:pStyle w:val="Standard"/>
        <w:spacing w:lineRule="auto" w:line="360"/>
        <w:jc w:val="both"/>
        <w:rPr/>
      </w:pPr>
      <w:r>
        <w:rPr>
          <w:sz w:val="20"/>
          <w:szCs w:val="20"/>
        </w:rPr>
        <w:t xml:space="preserve">DISTRITO(S): </w:t>
      </w:r>
      <w:r>
        <w:rPr>
          <w:b/>
          <w:bCs/>
          <w:sz w:val="20"/>
          <w:szCs w:val="20"/>
        </w:rPr>
        <w:t>Japoatã/SE</w:t>
      </w:r>
    </w:p>
    <w:p>
      <w:pPr>
        <w:pStyle w:val="Standard"/>
        <w:spacing w:lineRule="auto" w:line="360"/>
        <w:jc w:val="both"/>
        <w:rPr/>
      </w:pPr>
      <w:r>
        <w:rPr>
          <w:rFonts w:eastAsia="Times New Roman"/>
          <w:b/>
          <w:sz w:val="20"/>
          <w:szCs w:val="20"/>
        </w:rPr>
        <w:t xml:space="preserve"> </w:t>
      </w:r>
    </w:p>
    <w:p>
      <w:pPr>
        <w:pStyle w:val="Standard"/>
        <w:numPr>
          <w:ilvl w:val="0"/>
          <w:numId w:val="1"/>
        </w:numPr>
        <w:jc w:val="both"/>
        <w:rPr/>
      </w:pPr>
      <w:r>
        <w:rPr>
          <w:b/>
        </w:rPr>
        <w:t>DADOS PESSOAIS E FUNCIONAIS</w:t>
      </w:r>
    </w:p>
    <w:tbl>
      <w:tblPr>
        <w:tblW w:w="9413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99"/>
        <w:gridCol w:w="6413"/>
      </w:tblGrid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1.1 Data do vitaliciamento na carreira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16/11/2012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1.2 Data de designação/lotação na Promotoria de Justiça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28/09/2018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1.3 Atribuições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lang w:eastAsia="zh-CN" w:bidi="hi-IN"/>
              </w:rPr>
            </w:pPr>
            <w:r>
              <w:rPr>
                <w:sz w:val="20"/>
                <w:szCs w:val="20"/>
                <w:u w:val="single"/>
                <w:lang w:eastAsia="zh-CN" w:bidi="hi-IN"/>
              </w:rPr>
              <w:t>Judiciais</w:t>
            </w:r>
            <w:r>
              <w:rPr>
                <w:sz w:val="20"/>
                <w:szCs w:val="20"/>
                <w:lang w:eastAsia="zh-CN" w:bidi="hi-IN"/>
              </w:rPr>
              <w:t>: Sim</w:t>
            </w:r>
          </w:p>
          <w:p>
            <w:pPr>
              <w:pStyle w:val="Contedodetabela"/>
              <w:snapToGrid w:val="false"/>
              <w:rPr>
                <w:lang w:eastAsia="zh-CN" w:bidi="hi-IN"/>
              </w:rPr>
            </w:pPr>
            <w:r>
              <w:rPr>
                <w:sz w:val="20"/>
                <w:szCs w:val="20"/>
                <w:u w:val="single"/>
                <w:lang w:eastAsia="zh-CN" w:bidi="hi-IN"/>
              </w:rPr>
              <w:t>Extrajudiciais</w:t>
            </w:r>
            <w:r>
              <w:rPr>
                <w:sz w:val="20"/>
                <w:szCs w:val="20"/>
                <w:lang w:eastAsia="zh-CN" w:bidi="hi-IN"/>
              </w:rPr>
              <w:t>: Sim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1.4 Exerce atribuições como Promotor Eleitoral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Sim (   )         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Não (x)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1.5 Designado(a) para cumular suas atribuições em outra unidade do MP, nos últimos seis meses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color w:val="000000" w:themeColor="text1"/>
                <w:sz w:val="20"/>
                <w:szCs w:val="20"/>
                <w:lang w:eastAsia="zh-CN" w:bidi="hi-IN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 xml:space="preserve">Sim (x)         </w:t>
            </w:r>
          </w:p>
          <w:p>
            <w:pPr>
              <w:pStyle w:val="Contedodetabela"/>
              <w:snapToGrid w:val="false"/>
              <w:rPr>
                <w:color w:val="000000" w:themeColor="text1"/>
                <w:sz w:val="20"/>
                <w:szCs w:val="20"/>
                <w:lang w:eastAsia="zh-CN" w:bidi="hi-IN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Não (   )</w:t>
            </w:r>
          </w:p>
          <w:p>
            <w:pPr>
              <w:pStyle w:val="Standard"/>
              <w:snapToGrid w:val="false"/>
              <w:jc w:val="both"/>
              <w:rPr>
                <w:color w:val="000000" w:themeColor="text1"/>
                <w:sz w:val="20"/>
                <w:szCs w:val="20"/>
                <w:lang w:eastAsia="zh-CN" w:bidi="hi-IN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Em que unidade? 1ª Promotoria de Justiça da cidade de Neópolis/SE</w:t>
            </w:r>
          </w:p>
          <w:p>
            <w:pPr>
              <w:pStyle w:val="Standard"/>
              <w:snapToGrid w:val="false"/>
              <w:jc w:val="both"/>
              <w:rPr>
                <w:color w:val="000000" w:themeColor="text1"/>
                <w:sz w:val="20"/>
                <w:szCs w:val="20"/>
                <w:lang w:eastAsia="zh-CN" w:bidi="hi-IN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Qual o período/dias da semana? De 01/04/2019 a 12/04/2019, em virtude de férias do titular da 1ª Promotoria de Justiça da cidade de Neópolis/SE, bem como também acumulei funções junto à 6ª Promotoria de Justiça da cidade de Aracaju/SE até o dia 19/11/2019.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1.6 Recebeu colaboração de membro ou de órgão de execução nos últimos seis meses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Sim (   )      Qual? ________________________________   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Não (x )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1.7 Reside na Unidade de lotação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Sim (   )      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Não (x )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1.8 Endereço Residencial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/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Aracaju/SE.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1.9 Autorizado(a) a residir fora da Comarca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color w:val="FF0000"/>
                <w:sz w:val="20"/>
                <w:szCs w:val="20"/>
                <w:lang w:eastAsia="zh-CN" w:bidi="hi-IN"/>
              </w:rPr>
            </w:pPr>
            <w:r>
              <w:rPr>
                <w:color w:val="111111"/>
                <w:sz w:val="20"/>
                <w:szCs w:val="20"/>
                <w:lang w:eastAsia="zh-CN" w:bidi="hi-IN"/>
              </w:rPr>
              <w:t>Sim (x )         Portaria de Autorização nº: 476/2019  Data: 08/03/2019</w:t>
            </w:r>
          </w:p>
          <w:p>
            <w:pPr>
              <w:pStyle w:val="Contedodetabela"/>
              <w:snapToGrid w:val="false"/>
              <w:rPr>
                <w:color w:val="FF0000"/>
                <w:sz w:val="20"/>
                <w:szCs w:val="20"/>
                <w:lang w:eastAsia="zh-CN" w:bidi="hi-IN"/>
              </w:rPr>
            </w:pPr>
            <w:r>
              <w:rPr>
                <w:color w:val="111111"/>
                <w:sz w:val="20"/>
                <w:szCs w:val="20"/>
                <w:lang w:eastAsia="zh-CN" w:bidi="hi-IN"/>
              </w:rPr>
              <w:t>Não (   )         Portaria de Autorização nº: 977/2019  Data: 25/04/2019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1.10 Exerce o Magistério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Sim (   )         Dados do Estabelecimento e carga horária: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Não (x )</w:t>
            </w:r>
          </w:p>
        </w:tc>
      </w:tr>
      <w:tr>
        <w:trPr/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1.11 Férias/Licenças/Afastamentos do último ano</w:t>
            </w:r>
          </w:p>
        </w:tc>
        <w:tc>
          <w:tcPr>
            <w:tcW w:w="6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1"/>
                <w:szCs w:val="21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Período de férias do último ano: De 08/01/2018 a 20/01/2018; De 03/07/2018 a 01/08/2018; e De 20/11/2018 a 19/12/2018.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 w:bidi="hi-IN"/>
              </w:rPr>
              <w:t>Período de licenças do último ano: 06/04/2018 a 05/05/2018, licença para tratamento de saúde (GED nº 20.27.0145.0000045/2018-55).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 w:bidi="hi-IN"/>
              </w:rPr>
              <w:t>Período de Afastamento do último ano: _____________________</w:t>
            </w:r>
          </w:p>
        </w:tc>
      </w:tr>
    </w:tbl>
    <w:p>
      <w:pPr>
        <w:pStyle w:val="Contedodetabela"/>
        <w:snapToGrid w:val="false"/>
        <w:spacing w:lineRule="auto" w:line="360"/>
        <w:jc w:val="both"/>
        <w:rPr/>
      </w:pPr>
      <w:r>
        <w:rPr>
          <w:b/>
          <w:bCs/>
        </w:rPr>
        <w:t>1.12</w:t>
      </w:r>
      <w:r>
        <w:rPr>
          <w:rFonts w:eastAsia="Times New Roman"/>
          <w:b/>
          <w:bCs/>
        </w:rPr>
        <w:t xml:space="preserve"> </w:t>
      </w:r>
      <w:r>
        <w:rPr>
          <w:b/>
          <w:bCs/>
        </w:rPr>
        <w:t>Observações</w:t>
      </w:r>
      <w:r>
        <w:rPr>
          <w:rFonts w:eastAsia="Times New Roman"/>
          <w:b/>
          <w:bCs/>
        </w:rPr>
        <w:t xml:space="preserve"> da Corregedoria-Geral</w:t>
      </w:r>
    </w:p>
    <w:p>
      <w:pPr>
        <w:pStyle w:val="Normal"/>
        <w:tabs>
          <w:tab w:val="left" w:pos="555" w:leader="none"/>
        </w:tabs>
        <w:snapToGrid w:val="false"/>
        <w:spacing w:lineRule="auto" w:line="360"/>
        <w:ind w:left="0" w:right="0" w:firstLine="567"/>
        <w:jc w:val="both"/>
        <w:rPr/>
      </w:pPr>
      <w:r>
        <w:rPr/>
      </w:r>
    </w:p>
    <w:p>
      <w:pPr>
        <w:pStyle w:val="Normal"/>
        <w:tabs>
          <w:tab w:val="left" w:pos="555" w:leader="none"/>
        </w:tabs>
        <w:snapToGrid w:val="false"/>
        <w:spacing w:lineRule="auto" w:line="360"/>
        <w:ind w:left="0" w:right="0" w:firstLine="567"/>
        <w:jc w:val="both"/>
        <w:rPr/>
      </w:pPr>
      <w:r>
        <w:rPr/>
        <w:t>As férias foram devidamente comunicadas à Corregedoria Geral, conforme disposto no art. 104 da Lei Complementar nº 02/90.</w:t>
      </w:r>
    </w:p>
    <w:p>
      <w:pPr>
        <w:pStyle w:val="Standard"/>
        <w:jc w:val="both"/>
        <w:rPr/>
      </w:pPr>
      <w:r>
        <w:rPr/>
      </w:r>
    </w:p>
    <w:p>
      <w:pPr>
        <w:pStyle w:val="Standard"/>
        <w:numPr>
          <w:ilvl w:val="0"/>
          <w:numId w:val="2"/>
        </w:numPr>
        <w:jc w:val="both"/>
        <w:rPr>
          <w:b/>
          <w:b/>
          <w:bCs/>
        </w:rPr>
      </w:pPr>
      <w:r>
        <w:rPr>
          <w:b/>
          <w:bCs/>
        </w:rPr>
        <w:t>DADOS DA PROMOTORIA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9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049"/>
        <w:gridCol w:w="4545"/>
      </w:tblGrid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 Servidores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Everton Oliveira Angelo da Costa (Técnico do MP/SE);</w:t>
            </w:r>
          </w:p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Gustavo Mendonça Rodrigues (Analista do MP/SE);</w:t>
            </w:r>
          </w:p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sz w:val="20"/>
                <w:szCs w:val="20"/>
                <w:lang w:eastAsia="zh-CN" w:bidi="hi-IN"/>
              </w:rPr>
              <w:t>Macirley Santos Silva de Carvalho (Cedida)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2.2 A estrutura de apoio é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(   ) Satisfatória       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Insuficiente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 xml:space="preserve">Observações do Promotor: </w:t>
            </w:r>
            <w:r>
              <w:rPr>
                <w:b/>
                <w:bCs/>
                <w:color w:val="111111"/>
                <w:sz w:val="20"/>
                <w:szCs w:val="20"/>
                <w:lang w:eastAsia="zh-CN" w:bidi="hi-IN"/>
              </w:rPr>
              <w:t>Diante da tramitação de processos virtuais, seria importante o incremento do pessoal de apoio na parte de análise dos processos e Proej.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2.3 As instalações da Promotoria são adequadas e satisfatórias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Sim (x)    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Não (   )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Observações: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2.4 Horário de Funcionamento da unidade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08 às 14 horas, no horário de funcionamento do Fórum, sem prejuízo de atendimento além desse horário diante da demanda e da necessidade da comunidade.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2.5 Dias/Horário de atendimento ao público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De segunda-feira à sexta-feira existe atendimento na Promotoria de Justiça.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2.6 Quantitativo médio de atendimento ao público semanal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color w:val="111111"/>
              </w:rPr>
            </w:pPr>
            <w:r>
              <w:rPr>
                <w:color w:val="111111"/>
                <w:sz w:val="20"/>
                <w:szCs w:val="20"/>
                <w:lang w:eastAsia="zh-CN" w:bidi="hi-IN"/>
              </w:rPr>
              <w:t>6,25 atendimentos por mês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2.7 Há registro dos atendimentos realizados ao público externo (partes/advogados/comunidade)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Sim (x)      Não (   )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2.8 Dias de realização de audiências judiciais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Em regra, de terça-feira à quinta-feira.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2.9 A internet está funcionando a contento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Sim (X )    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Não (   )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Observações: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2.10 Como é realizado o acompanhamento das ações ajuizadas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(x) Quando do recebimento dos autos para manifestação   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) Outra forma de controle. Qual? ________________________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2.11 Forma de controle de recebimento e devolução de processos eleitorais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Não tem atribuição eleitoral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2.12 Livros/Pastas (físicas ou eletrônicas) existentes na Promotoria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 Ofícios recebidos.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 Ofícios expedidos.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Atos, avisos, instruções normativas, recomendações, portarias e outros normativos do Conselho Nacional do Ministério Público, Procuradoria-Geral de Justiça, Corregedoria-Geral e Coordenadoria-Geral.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  Portarias de Procedimento Administrativo Preparatório e Inquérito Civil instaurados.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Controle de atendimento ao público.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TAC's homologados.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Guias do Sistema Arquimedes.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Autos de Prisão em Flagrante.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Peças Processuais elaboradas na Promotoria.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Eleitoral.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Livro de carga/protocolo.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cópia de preenchimento dos formulários – sistemas do MP e CNMP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Visitas a Delegacias   (x) CITT  (x) Visitas a entidades de acolhimento de crianças e/ou idosos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(   ) Visitas a Presídios  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Visitas a unidades socioeducativas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Disque-100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) Outros.</w:t>
            </w:r>
          </w:p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Especificar: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Observação: Foram abertas/criadas pastas virtuais.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2.13 Equipamentos existentes na Promotoria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( 04 ) quantidade de computadores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(01  ) quantidade de impressoras</w:t>
            </w:r>
          </w:p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( 01 ) quantidade de scanners</w:t>
            </w:r>
          </w:p>
          <w:p>
            <w:pPr>
              <w:pStyle w:val="Contedodetabela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não tem) quantidade de fax</w:t>
            </w:r>
          </w:p>
          <w:p>
            <w:pPr>
              <w:pStyle w:val="Contedodetabela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( ) outros equipamentos. Especificar: ________________________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2.14 Os Servidores estão aptos a operar os Sistemas do MP/SE e CNMP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Arquimedes: </w:t>
              <w:tab/>
              <w:t xml:space="preserve">                   Sim (x)     Não (     )</w:t>
            </w:r>
          </w:p>
          <w:p>
            <w:pPr>
              <w:pStyle w:val="Standard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Proej: </w:t>
              <w:tab/>
              <w:tab/>
              <w:t xml:space="preserve">                   Sim (x )     Não (     )</w:t>
            </w:r>
          </w:p>
          <w:p>
            <w:pPr>
              <w:pStyle w:val="Standard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CITT: </w:t>
              <w:tab/>
              <w:tab/>
              <w:t xml:space="preserve">                   Sim (x )     Não (     )</w:t>
            </w:r>
          </w:p>
          <w:p>
            <w:pPr>
              <w:pStyle w:val="Standard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IDEPOL:</w:t>
              <w:tab/>
              <w:t xml:space="preserve">                   Sim (     )     Não (x)</w:t>
            </w:r>
          </w:p>
          <w:p>
            <w:pPr>
              <w:pStyle w:val="Standard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MP-Mobile:</w:t>
              <w:tab/>
              <w:t xml:space="preserve">                   Sim (x )     Não (     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Disque-100:</w:t>
              <w:tab/>
              <w:t xml:space="preserve">                   Sim (     )     Não (x)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Unidades de Acolhimento:     Sim ( )     Não (x)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Unidades Socioeducativas :   Sim (     )     Não (x 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Delegacias de Polícia:            Sim (   )     Não (x)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Presídios:                                Sim (     )     Não (x )</w:t>
            </w:r>
          </w:p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jc w:val="both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Observação do Promotor: Quanto ao Proej, os servidores Evérton Oliveira Angelo da Costa e Macirley Santos Silva de Carvalho estão habilitados para acessarem. Quanto aos sistemas do CITT e Arquimedes, o servidor servidores Evérton Oliveira Angelo da Costa está habilitado para usar</w:t>
            </w:r>
            <w:r>
              <w:rPr>
                <w:b/>
                <w:bCs/>
              </w:rPr>
              <w:t>.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2.15 A Promotoria, em sua atuação, observa as nomenclaturas e terminologias presentes nas tabelas taxonômicas do CNMP</w:t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  ) Sim    (    ) Não</w:t>
            </w:r>
          </w:p>
        </w:tc>
      </w:tr>
      <w:tr>
        <w:trPr/>
        <w:tc>
          <w:tcPr>
            <w:tcW w:w="4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2.16 A Promotoria, em sua atuação, está cumprindo a sentença proferida pela Corte Interamericana de Direitos Humanos, no caso “Favela Nova Brasília”</w:t>
            </w:r>
            <w:r>
              <w:rPr>
                <w:rStyle w:val="Ncoradanotaderodap"/>
                <w:b/>
                <w:bCs/>
                <w:sz w:val="20"/>
                <w:szCs w:val="20"/>
                <w:lang w:eastAsia="zh-CN" w:bidi="hi-IN"/>
              </w:rPr>
              <w:footnoteReference w:id="2"/>
            </w:r>
          </w:p>
        </w:tc>
        <w:tc>
          <w:tcPr>
            <w:tcW w:w="4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  ) Sim    (    ) Não</w:t>
            </w:r>
          </w:p>
          <w:p>
            <w:pPr>
              <w:pStyle w:val="Standard"/>
              <w:snapToGrid w:val="false"/>
              <w:jc w:val="both"/>
              <w:rPr/>
            </w:pPr>
            <w:r>
              <w:rPr>
                <w:sz w:val="20"/>
                <w:szCs w:val="20"/>
                <w:lang w:eastAsia="zh-CN" w:bidi="hi-IN"/>
              </w:rPr>
              <w:t>Mensalmente há o envio do relatório de mortes ocasionadas por intervenção estatal onde tais termos são utilizados.</w:t>
            </w:r>
          </w:p>
        </w:tc>
      </w:tr>
    </w:tbl>
    <w:p>
      <w:pPr>
        <w:pStyle w:val="Normal"/>
        <w:jc w:val="both"/>
        <w:rPr/>
      </w:pPr>
      <w:r>
        <w:rPr>
          <w:b/>
          <w:bCs/>
        </w:rPr>
        <w:t>2.17 Observações da Corregedoria Geral</w:t>
      </w:r>
    </w:p>
    <w:p>
      <w:pPr>
        <w:pStyle w:val="Normal"/>
        <w:snapToGrid w:val="false"/>
        <w:spacing w:lineRule="auto" w:line="360"/>
        <w:jc w:val="both"/>
        <w:rPr/>
      </w:pPr>
      <w:r>
        <w:rPr/>
        <w:tab/>
      </w:r>
    </w:p>
    <w:p>
      <w:pPr>
        <w:pStyle w:val="Normal"/>
        <w:tabs>
          <w:tab w:val="left" w:pos="570" w:leader="none"/>
        </w:tabs>
        <w:snapToGrid w:val="false"/>
        <w:spacing w:lineRule="auto" w:line="36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color w:val="00000A"/>
        </w:rPr>
        <w:t>O Promotor relatou sobre a necessidade de ampliação do quadro de recursos humanos da Promotoria de Justiça. Considerando que falece atribuição à Corregedoria Geral para lotação de servidores, o presente relatório será encaminhado ao Procurador-Geral de Justiça, para conhecimento e adoção das providências que entender pertinentes.</w:t>
      </w:r>
    </w:p>
    <w:p>
      <w:pPr>
        <w:pStyle w:val="Normal"/>
        <w:tabs>
          <w:tab w:val="left" w:pos="570" w:leader="none"/>
        </w:tabs>
        <w:snapToGrid w:val="false"/>
        <w:spacing w:lineRule="auto" w:line="360"/>
        <w:ind w:left="0" w:right="0" w:firstLine="567"/>
        <w:jc w:val="both"/>
        <w:rPr>
          <w:rFonts w:eastAsia="Times New Roman"/>
          <w:b/>
          <w:b/>
          <w:bCs/>
          <w:color w:val="00000A"/>
        </w:rPr>
      </w:pPr>
      <w:r>
        <w:rPr>
          <w:rFonts w:eastAsia="Times New Roman"/>
          <w:b/>
          <w:bCs/>
          <w:color w:val="00000A"/>
        </w:rPr>
      </w:r>
    </w:p>
    <w:p>
      <w:pPr>
        <w:pStyle w:val="Standard"/>
        <w:numPr>
          <w:ilvl w:val="0"/>
          <w:numId w:val="2"/>
        </w:numPr>
        <w:jc w:val="both"/>
        <w:rPr>
          <w:b/>
          <w:b/>
          <w:bCs/>
        </w:rPr>
      </w:pPr>
      <w:r>
        <w:rPr>
          <w:b/>
          <w:bCs/>
        </w:rPr>
        <w:t>DADOS GERAIS DA COMARCA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9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2"/>
        <w:gridCol w:w="5942"/>
      </w:tblGrid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Existe Juiz Titular na Comarca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 ) Sim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Não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Existe Defensor Público na Comarca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Sim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 ) Não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Existe Delegado de Polícia na Comarca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 ) Sim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Não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Como é feito o atendimento de diligências pela Autoridade Policial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) Satisfatório</w:t>
            </w:r>
          </w:p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Insatisfatório</w:t>
            </w:r>
          </w:p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Observações do Promotor: Na análise deste tópico, há que se levar em consideração as deficiências estruturais existentes na Polícia.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Existe um bom relacionamento com as demais Autoridades da Comarca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x  ) Sim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Não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Observações: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widowControl w:val="false"/>
        <w:numPr>
          <w:ilvl w:val="0"/>
          <w:numId w:val="0"/>
        </w:numPr>
        <w:suppressAutoHyphens w:val="true"/>
        <w:bidi w:val="0"/>
        <w:ind w:left="786" w:right="0" w:hanging="0"/>
        <w:jc w:val="both"/>
        <w:rPr/>
      </w:pPr>
      <w:r>
        <w:rPr>
          <w:b/>
          <w:bCs/>
        </w:rPr>
        <w:t>4) ATUAÇÃO JUDICIAL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777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1"/>
        <w:gridCol w:w="1952"/>
        <w:gridCol w:w="1951"/>
        <w:gridCol w:w="2055"/>
      </w:tblGrid>
      <w:tr>
        <w:trPr/>
        <w:tc>
          <w:tcPr>
            <w:tcW w:w="18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Local</w:t>
            </w:r>
          </w:p>
        </w:tc>
        <w:tc>
          <w:tcPr>
            <w:tcW w:w="595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01</w:t>
            </w:r>
          </w:p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(certidões cartorárias – fls. 46/87)</w:t>
            </w:r>
          </w:p>
        </w:tc>
      </w:tr>
      <w:tr>
        <w:trPr/>
        <w:tc>
          <w:tcPr>
            <w:tcW w:w="18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-2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Lucida Sans Unicode" w:cs="Times New Roman"/>
                <w:b/>
                <w:b/>
                <w:bCs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</w:rPr>
            </w:r>
          </w:p>
        </w:tc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com carga/vistas ao MP</w:t>
            </w:r>
          </w:p>
        </w:tc>
        <w:tc>
          <w:tcPr>
            <w:tcW w:w="1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com carga/vista ao MP, há mais de 30 dias no gabinete ministerial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em trâmite na Vara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2ª Vara de Neópolis</w:t>
            </w:r>
          </w:p>
        </w:tc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42</w:t>
            </w:r>
          </w:p>
        </w:tc>
        <w:tc>
          <w:tcPr>
            <w:tcW w:w="1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338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Japoatã</w:t>
            </w:r>
          </w:p>
        </w:tc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88</w:t>
            </w:r>
          </w:p>
        </w:tc>
        <w:tc>
          <w:tcPr>
            <w:tcW w:w="1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846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tbl>
      <w:tblPr>
        <w:tblW w:w="715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6"/>
        <w:gridCol w:w="1821"/>
        <w:gridCol w:w="1921"/>
        <w:gridCol w:w="1886"/>
      </w:tblGrid>
      <w:tr>
        <w:trPr/>
        <w:tc>
          <w:tcPr>
            <w:tcW w:w="15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Local</w:t>
            </w:r>
          </w:p>
        </w:tc>
        <w:tc>
          <w:tcPr>
            <w:tcW w:w="562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02 – processos criminais</w:t>
            </w:r>
          </w:p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lang w:eastAsia="zh-CN" w:bidi="hi-IN"/>
              </w:rPr>
              <w:t>(certidões cartorárias – fls. 46/87)</w:t>
            </w:r>
          </w:p>
        </w:tc>
      </w:tr>
      <w:tr>
        <w:trPr/>
        <w:tc>
          <w:tcPr>
            <w:tcW w:w="15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-2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Lucida Sans Unicode" w:cs="Times New Roman"/>
                <w:b/>
                <w:b/>
                <w:bCs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</w:rPr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  <w:lang w:eastAsia="zh-CN" w:bidi="hi-IN"/>
              </w:rPr>
              <w:t>Quantidade de processos com réus presos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  <w:lang w:eastAsia="zh-CN" w:bidi="hi-IN"/>
              </w:rPr>
              <w:t>Quantidade de Ações penais do Tribunal do Júri em andamento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  <w:lang w:eastAsia="zh-CN" w:bidi="hi-IN"/>
              </w:rPr>
              <w:t>Quantidade de sessões do Júri realizadas no último ano antes da correição</w:t>
            </w:r>
          </w:p>
        </w:tc>
      </w:tr>
      <w:tr>
        <w:trPr/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2ª Vara de Neópolis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zh-CN" w:bidi="hi-IN"/>
              </w:rPr>
              <w:t>11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zh-CN" w:bidi="hi-IN"/>
              </w:rPr>
              <w:t>03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zh-CN" w:bidi="hi-IN"/>
              </w:rPr>
              <w:t>00</w:t>
            </w:r>
          </w:p>
        </w:tc>
      </w:tr>
      <w:tr>
        <w:trPr/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Japoatã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 xml:space="preserve">10 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23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01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tbl>
      <w:tblPr>
        <w:tblW w:w="625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31"/>
        <w:gridCol w:w="2208"/>
        <w:gridCol w:w="2516"/>
      </w:tblGrid>
      <w:tr>
        <w:trPr/>
        <w:tc>
          <w:tcPr>
            <w:tcW w:w="15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Local</w:t>
            </w:r>
          </w:p>
        </w:tc>
        <w:tc>
          <w:tcPr>
            <w:tcW w:w="472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03 – inquéritos policiais/processos remetidos</w:t>
            </w:r>
          </w:p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lang w:eastAsia="zh-CN" w:bidi="hi-IN"/>
              </w:rPr>
              <w:t>(certidões cartorárias – fls. 46/87)</w:t>
            </w:r>
          </w:p>
        </w:tc>
      </w:tr>
      <w:tr>
        <w:trPr/>
        <w:tc>
          <w:tcPr>
            <w:tcW w:w="153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-2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Lucida Sans Unicode" w:cs="Times New Roman"/>
                <w:b/>
                <w:b/>
                <w:bCs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</w:rPr>
            </w:r>
          </w:p>
        </w:tc>
        <w:tc>
          <w:tcPr>
            <w:tcW w:w="22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  <w:lang w:eastAsia="zh-CN" w:bidi="hi-IN"/>
              </w:rPr>
              <w:t>Quantidade de Inquéritos/processos remetidos ao MP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  <w:lang w:eastAsia="zh-CN" w:bidi="hi-IN"/>
              </w:rPr>
              <w:t>Quantidade de Inquéritos/processos remetidos ao MP há mais de 30 dias</w:t>
            </w:r>
          </w:p>
        </w:tc>
      </w:tr>
      <w:tr>
        <w:trPr/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2ª Vara de Neópolis</w:t>
            </w:r>
          </w:p>
        </w:tc>
        <w:tc>
          <w:tcPr>
            <w:tcW w:w="22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111111"/>
              </w:rPr>
            </w:pPr>
            <w:r>
              <w:rPr>
                <w:b/>
                <w:bCs/>
                <w:color w:val="111111"/>
                <w:sz w:val="16"/>
                <w:szCs w:val="16"/>
                <w:lang w:eastAsia="zh-CN" w:bidi="hi-IN"/>
              </w:rPr>
              <w:t>15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111111"/>
              </w:rPr>
            </w:pPr>
            <w:r>
              <w:rPr>
                <w:b/>
                <w:bCs/>
                <w:color w:val="111111"/>
                <w:sz w:val="16"/>
                <w:szCs w:val="16"/>
                <w:lang w:eastAsia="zh-CN" w:bidi="hi-IN"/>
              </w:rPr>
              <w:t>00</w:t>
            </w:r>
          </w:p>
        </w:tc>
      </w:tr>
      <w:tr>
        <w:trPr/>
        <w:tc>
          <w:tcPr>
            <w:tcW w:w="15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Japoatã</w:t>
            </w:r>
          </w:p>
        </w:tc>
        <w:tc>
          <w:tcPr>
            <w:tcW w:w="22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03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00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Obs do Promotor. A certidão da sede da comarca, no número acima indicado, certificou os Inquéritos Policiais enviados entre o período de 2018 a 2019, observando-se que a 2ª Promotoria de Justiça da cidade de Neópolis/SE foi criada em maio de 2018, porém instalada em setembro de 2018.</w:t>
      </w:r>
    </w:p>
    <w:p>
      <w:pPr>
        <w:pStyle w:val="Standard"/>
        <w:jc w:val="both"/>
        <w:rPr/>
      </w:pPr>
      <w:r>
        <w:rPr/>
      </w:r>
    </w:p>
    <w:tbl>
      <w:tblPr>
        <w:tblW w:w="850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2609"/>
        <w:gridCol w:w="3064"/>
      </w:tblGrid>
      <w:tr>
        <w:trPr/>
        <w:tc>
          <w:tcPr>
            <w:tcW w:w="85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04 – Inquéritos policiais remetidos há mais de 30 dias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Número do Processo</w:t>
            </w:r>
          </w:p>
        </w:tc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Data da remessa ao MP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Data do último movimento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atabela"/>
              <w:snapToGrid w:val="false"/>
              <w:rPr>
                <w:lang w:eastAsia="zh-CN" w:bidi="hi-IN"/>
              </w:rPr>
            </w:pPr>
            <w:r>
              <w:rPr>
                <w:lang w:eastAsia="zh-CN" w:bidi="hi-IN"/>
              </w:rPr>
              <w:t>-</w:t>
            </w:r>
          </w:p>
        </w:tc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atabela"/>
              <w:snapToGrid w:val="false"/>
              <w:rPr>
                <w:lang w:eastAsia="zh-CN" w:bidi="hi-IN"/>
              </w:rPr>
            </w:pPr>
            <w:r>
              <w:rPr>
                <w:lang w:eastAsia="zh-CN" w:bidi="hi-IN"/>
              </w:rPr>
              <w:t>-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atabela"/>
              <w:snapToGrid w:val="false"/>
              <w:rPr>
                <w:lang w:eastAsia="zh-CN" w:bidi="hi-IN"/>
              </w:rPr>
            </w:pPr>
            <w:r>
              <w:rPr>
                <w:lang w:eastAsia="zh-CN" w:bidi="hi-IN"/>
              </w:rPr>
              <w:t>-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tbl>
      <w:tblPr>
        <w:tblW w:w="777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1"/>
        <w:gridCol w:w="1952"/>
        <w:gridCol w:w="1951"/>
        <w:gridCol w:w="2055"/>
      </w:tblGrid>
      <w:tr>
        <w:trPr/>
        <w:tc>
          <w:tcPr>
            <w:tcW w:w="18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</w:r>
          </w:p>
        </w:tc>
        <w:tc>
          <w:tcPr>
            <w:tcW w:w="595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05</w:t>
            </w:r>
          </w:p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lang w:eastAsia="zh-CN" w:bidi="hi-IN"/>
              </w:rPr>
              <w:t>(relatório gerencial do Arquimedes – fl. 20)</w:t>
            </w:r>
          </w:p>
        </w:tc>
      </w:tr>
      <w:tr>
        <w:trPr/>
        <w:tc>
          <w:tcPr>
            <w:tcW w:w="18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-2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Lucida Sans Unicode" w:cs="Times New Roman"/>
                <w:b/>
                <w:b/>
                <w:bCs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</w:rPr>
            </w:r>
          </w:p>
        </w:tc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recebidos no último ano antes da correição</w:t>
            </w:r>
          </w:p>
        </w:tc>
        <w:tc>
          <w:tcPr>
            <w:tcW w:w="1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devolvidos no último ano antes da correição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Média processual mensal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Dados Estatísticos</w:t>
            </w:r>
          </w:p>
        </w:tc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2.303</w:t>
            </w:r>
          </w:p>
        </w:tc>
        <w:tc>
          <w:tcPr>
            <w:tcW w:w="1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2.333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194,41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tbl>
      <w:tblPr>
        <w:tblW w:w="769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3"/>
        <w:gridCol w:w="2367"/>
        <w:gridCol w:w="2885"/>
      </w:tblGrid>
      <w:tr>
        <w:trPr/>
        <w:tc>
          <w:tcPr>
            <w:tcW w:w="24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CLASSE</w:t>
            </w:r>
          </w:p>
        </w:tc>
        <w:tc>
          <w:tcPr>
            <w:tcW w:w="52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TABELA 06</w:t>
            </w:r>
          </w:p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lang w:eastAsia="zh-CN" w:bidi="hi-IN"/>
              </w:rPr>
              <w:t>(relatório gerencial do Arquimedes – fl. 21)</w:t>
            </w:r>
          </w:p>
        </w:tc>
      </w:tr>
      <w:tr>
        <w:trPr/>
        <w:tc>
          <w:tcPr>
            <w:tcW w:w="24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-2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Lucida Sans Unicode" w:cs="Times New Roman"/>
                <w:b/>
                <w:b/>
                <w:bCs/>
              </w:rPr>
            </w:pPr>
            <w:r>
              <w:rPr>
                <w:rFonts w:eastAsia="Lucida Sans Unicode" w:cs="Times New Roman" w:ascii="Times New Roman" w:hAnsi="Times New Roman"/>
                <w:b/>
                <w:bCs/>
              </w:rPr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recebidos no último ano antes da correição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processos devolvidos no último ano antes da correição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Processo Cível e do Trabalho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1.019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1.035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Infância e Juventude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110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111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Inquéritos Policiais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247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248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Termos Circunstanciados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222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226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Processo Criminal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375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381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Execução Penal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109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111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Outras Classes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221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221</w:t>
            </w:r>
          </w:p>
        </w:tc>
      </w:tr>
      <w:tr>
        <w:trPr/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Total da Promotoria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2.303</w:t>
            </w:r>
          </w:p>
        </w:tc>
        <w:tc>
          <w:tcPr>
            <w:tcW w:w="2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b/>
                <w:b/>
                <w:bCs/>
                <w:sz w:val="16"/>
                <w:szCs w:val="16"/>
                <w:lang w:eastAsia="zh-CN" w:bidi="hi-IN"/>
              </w:rPr>
            </w:pPr>
            <w:r>
              <w:rPr>
                <w:b/>
                <w:bCs/>
                <w:sz w:val="16"/>
                <w:szCs w:val="16"/>
                <w:lang w:eastAsia="zh-CN" w:bidi="hi-IN"/>
              </w:rPr>
              <w:t>2.333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tbl>
      <w:tblPr>
        <w:tblW w:w="855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963"/>
        <w:gridCol w:w="1586"/>
      </w:tblGrid>
      <w:tr>
        <w:trPr/>
        <w:tc>
          <w:tcPr>
            <w:tcW w:w="85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lang w:eastAsia="zh-CN" w:bidi="hi-IN"/>
              </w:rPr>
              <w:t>TABELA 07 - (relatório gerencial do Arquimedes – fl. 113)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Movimentos por Promotor/Período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Quantidade</w:t>
            </w:r>
          </w:p>
        </w:tc>
      </w:tr>
      <w:tr>
        <w:trPr/>
        <w:tc>
          <w:tcPr>
            <w:tcW w:w="85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1. Ajuizamento                                                                                                                   25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1.1 – Denúncia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24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1.2 – Petição Inicial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1.3 Representação por Ato Infracional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01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2 – Alegações Finais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3 – Ciência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334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4 – Manifestação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415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5 – Recomendação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85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6 – Recurso                                                                                                                        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6.1 – Razões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02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6.2 – Contrarrazões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6.3 – Interposição de Recursos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7 – Audiências Judiciais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123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8 – Sessões do Tribunal do Júri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6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TOTAL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899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bidi w:val="0"/>
        <w:spacing w:lineRule="auto" w:line="360"/>
        <w:jc w:val="both"/>
        <w:rPr/>
      </w:pPr>
      <w:r>
        <w:rPr>
          <w:b/>
          <w:bCs/>
          <w:color w:val="111111"/>
        </w:rPr>
        <w:tab/>
        <w:t>Obs. do Promotor</w:t>
      </w:r>
      <w:r>
        <w:rPr>
          <w:color w:val="111111"/>
        </w:rPr>
        <w:t>: Os dados acima contêm falhas, eis que no momento em que o servidor vai proceder ao lançamento no sistema do Arquimedes, caso não haja a observância da congruência entre o ato processual praticado e a nomenclatura utilizada no momento do lançamento no sistema de Arquimedes, o relatório apresenta incongruências.</w:t>
      </w:r>
    </w:p>
    <w:p>
      <w:pPr>
        <w:pStyle w:val="Standard"/>
        <w:bidi w:val="0"/>
        <w:spacing w:lineRule="auto" w:line="360"/>
        <w:jc w:val="both"/>
        <w:rPr>
          <w:color w:val="FF0000"/>
        </w:rPr>
      </w:pPr>
      <w:r>
        <w:rPr>
          <w:color w:val="FF0000"/>
        </w:rPr>
      </w:r>
    </w:p>
    <w:p>
      <w:pPr>
        <w:pStyle w:val="Standard"/>
        <w:bidi w:val="0"/>
        <w:spacing w:lineRule="auto" w:line="360"/>
        <w:jc w:val="both"/>
        <w:rPr/>
      </w:pPr>
      <w:r>
        <w:rPr>
          <w:color w:val="111111"/>
        </w:rPr>
        <w:tab/>
        <w:t>A título de exemplo, acima consta como nenhum recurso interposto, sendo que ao longo deste ano, já houve a interposição de dois recursos. Outro exemplo que se pode mencionar são as sessões do tribunal do júri, em que já houve uma sessão do tribunal do júri e no relatório do Arquimedes consta como não tendo havido nenhuma.</w:t>
      </w:r>
    </w:p>
    <w:p>
      <w:pPr>
        <w:pStyle w:val="Standard"/>
        <w:bidi w:val="0"/>
        <w:spacing w:lineRule="auto" w:line="360"/>
        <w:jc w:val="both"/>
        <w:rPr>
          <w:color w:val="FF0000"/>
        </w:rPr>
      </w:pPr>
      <w:r>
        <w:rPr>
          <w:color w:val="FF0000"/>
        </w:rPr>
      </w:r>
    </w:p>
    <w:p>
      <w:pPr>
        <w:pStyle w:val="Standard"/>
        <w:bidi w:val="0"/>
        <w:spacing w:lineRule="auto" w:line="360"/>
        <w:jc w:val="both"/>
        <w:rPr/>
      </w:pPr>
      <w:r>
        <w:rPr>
          <w:color w:val="111111"/>
        </w:rPr>
        <w:tab/>
        <w:t>Por fim, como mais um argumento, o número de representações por atos infracionais foi superior a 01 (uma), bem como tiveram algumas alegações finais, sendo que o relatório apresenta o número 00.</w:t>
      </w:r>
    </w:p>
    <w:p>
      <w:pPr>
        <w:pStyle w:val="Standard"/>
        <w:bidi w:val="0"/>
        <w:spacing w:lineRule="auto" w:line="360"/>
        <w:jc w:val="both"/>
        <w:rPr>
          <w:color w:val="FF0000"/>
        </w:rPr>
      </w:pPr>
      <w:r>
        <w:rPr>
          <w:color w:val="FF0000"/>
        </w:rPr>
      </w:r>
    </w:p>
    <w:p>
      <w:pPr>
        <w:pStyle w:val="Standard"/>
        <w:bidi w:val="0"/>
        <w:spacing w:lineRule="auto" w:line="360"/>
        <w:jc w:val="both"/>
        <w:rPr>
          <w:color w:val="FF0000"/>
        </w:rPr>
      </w:pPr>
      <w:r>
        <w:rPr>
          <w:color w:val="FF0000"/>
        </w:rPr>
      </w:r>
    </w:p>
    <w:p>
      <w:pPr>
        <w:pStyle w:val="Standard"/>
        <w:bidi w:val="0"/>
        <w:spacing w:lineRule="auto" w:line="360"/>
        <w:jc w:val="both"/>
        <w:rPr>
          <w:color w:val="FF0000"/>
        </w:rPr>
      </w:pPr>
      <w:r>
        <w:rPr>
          <w:color w:val="FF0000"/>
        </w:rPr>
      </w:r>
    </w:p>
    <w:p>
      <w:pPr>
        <w:pStyle w:val="Standard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4.1) OBSERVAÇÕES DA CORREGEDORIA GERAL </w:t>
      </w:r>
      <w:r>
        <w:rPr>
          <w:rFonts w:cs="Times New Roman" w:ascii="Times New Roman" w:hAnsi="Times New Roman"/>
          <w:b/>
          <w:bCs/>
          <w:color w:val="00000A"/>
          <w:sz w:val="22"/>
          <w:szCs w:val="22"/>
        </w:rPr>
        <w:t>SOBRE ATUAÇÃO JUDICIAL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left" w:pos="570" w:leader="none"/>
          <w:tab w:val="left" w:pos="3660" w:leader="none"/>
        </w:tabs>
        <w:spacing w:lineRule="auto" w:line="360"/>
        <w:ind w:left="0" w:right="0" w:firstLine="567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tabs>
          <w:tab w:val="left" w:pos="570" w:leader="none"/>
          <w:tab w:val="left" w:pos="3660" w:leader="none"/>
        </w:tabs>
        <w:spacing w:lineRule="auto" w:line="360"/>
        <w:ind w:left="0" w:right="0" w:firstLine="567"/>
        <w:jc w:val="both"/>
        <w:rPr>
          <w:color w:val="00000A"/>
        </w:rPr>
      </w:pPr>
      <w:r>
        <w:rPr>
          <w:color w:val="00000A"/>
        </w:rPr>
        <w:t>No dia da Correição, verificou-se que não havia nenhum processo judicial/inquérito policial há mais de 30 dias com carga/vista à Promotoria de Justiça nem fora do prazo estimado para manifestação (fls. 12/18).</w:t>
      </w:r>
    </w:p>
    <w:p>
      <w:pPr>
        <w:pStyle w:val="Normal"/>
        <w:tabs>
          <w:tab w:val="left" w:pos="570" w:leader="none"/>
          <w:tab w:val="left" w:pos="3660" w:leader="none"/>
        </w:tabs>
        <w:spacing w:lineRule="auto" w:line="360"/>
        <w:ind w:left="0" w:right="0" w:firstLine="567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tabs>
          <w:tab w:val="left" w:pos="570" w:leader="none"/>
          <w:tab w:val="left" w:pos="3660" w:leader="none"/>
        </w:tabs>
        <w:spacing w:lineRule="auto" w:line="360"/>
        <w:ind w:left="0" w:right="0" w:firstLine="567"/>
        <w:jc w:val="both"/>
        <w:rPr>
          <w:color w:val="00000A"/>
        </w:rPr>
      </w:pPr>
      <w:r>
        <w:rPr>
          <w:color w:val="00000A"/>
        </w:rPr>
        <w:t xml:space="preserve">Foram juntadas peças processuais às fls. 88/110, referentes à atuação cível e criminal da unidade, a saber: </w:t>
      </w:r>
    </w:p>
    <w:p>
      <w:pPr>
        <w:pStyle w:val="Normal"/>
        <w:tabs>
          <w:tab w:val="left" w:pos="570" w:leader="none"/>
          <w:tab w:val="left" w:pos="3660" w:leader="none"/>
        </w:tabs>
        <w:spacing w:lineRule="auto" w:line="360"/>
        <w:ind w:left="0" w:right="0" w:firstLine="567"/>
        <w:jc w:val="both"/>
        <w:rPr>
          <w:color w:val="CE181E"/>
        </w:rPr>
      </w:pPr>
      <w:r>
        <w:rPr>
          <w:color w:val="CE181E"/>
        </w:rPr>
      </w:r>
    </w:p>
    <w:tbl>
      <w:tblPr>
        <w:tblW w:w="9075" w:type="dxa"/>
        <w:jc w:val="left"/>
        <w:tblInd w:w="4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0" w:type="dxa"/>
          <w:left w:w="43" w:type="dxa"/>
          <w:bottom w:w="0" w:type="dxa"/>
          <w:right w:w="55" w:type="dxa"/>
        </w:tblCellMar>
      </w:tblPr>
      <w:tblGrid>
        <w:gridCol w:w="2038"/>
        <w:gridCol w:w="962"/>
        <w:gridCol w:w="1709"/>
        <w:gridCol w:w="4365"/>
      </w:tblGrid>
      <w:tr>
        <w:trPr>
          <w:trHeight w:val="23" w:hRule="atLeast"/>
        </w:trPr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CCCCCC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Tipo de peça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CCCCCC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Quantidade analisada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CCCCCC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 xml:space="preserve">Processos </w:t>
            </w:r>
          </w:p>
        </w:tc>
        <w:tc>
          <w:tcPr>
            <w:tcW w:w="4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CCCCCC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Observações da Corregedoria Geral</w:t>
            </w:r>
          </w:p>
        </w:tc>
      </w:tr>
      <w:tr>
        <w:trPr>
          <w:trHeight w:val="642" w:hRule="atLeast"/>
        </w:trPr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Ação Civil Pública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106.18.01.0031 (Proej)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Times New Roman" w:hAnsi="Times New Roman"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106.18.01.0046 (Proej)</w:t>
            </w:r>
          </w:p>
        </w:tc>
        <w:tc>
          <w:tcPr>
            <w:tcW w:w="4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ascii="Times New Roman" w:hAnsi="Times New Roman"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 xml:space="preserve">- </w:t>
            </w:r>
            <w:r>
              <w:rPr>
                <w:rFonts w:eastAsia="SimSun;宋体" w:cs="Garamond" w:ascii="Times New Roman" w:hAnsi="Times New Roman"/>
                <w:b w:val="false"/>
                <w:bCs w:val="false"/>
                <w:color w:val="00000A"/>
                <w:sz w:val="16"/>
                <w:szCs w:val="16"/>
                <w:highlight w:val="white"/>
                <w:lang w:val="pt-BR" w:eastAsia="hi-IN" w:bidi="hi-IN"/>
              </w:rPr>
              <w:t>Ação civil pública – instalação de Casa Lar;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Times New Roman" w:hAnsi="Times New Roman"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 xml:space="preserve">- </w:t>
            </w:r>
            <w:r>
              <w:rPr>
                <w:rFonts w:eastAsia="SimSun;宋体" w:cs="Garamond" w:ascii="Times New Roman" w:hAnsi="Times New Roman"/>
                <w:b w:val="false"/>
                <w:bCs w:val="false"/>
                <w:color w:val="00000A"/>
                <w:sz w:val="16"/>
                <w:szCs w:val="16"/>
                <w:highlight w:val="white"/>
                <w:lang w:val="pt-BR" w:eastAsia="hi-IN" w:bidi="hi-IN"/>
              </w:rPr>
              <w:t>Ação civil pública – concurso público – professores – Japoatã;</w:t>
            </w:r>
          </w:p>
        </w:tc>
      </w:tr>
      <w:tr>
        <w:trPr>
          <w:trHeight w:val="462" w:hRule="atLeast"/>
        </w:trPr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Ação de Improbidade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4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SimSun;宋体" w:cs="Garamond"/>
                <w:highlight w:val="white"/>
                <w:lang w:eastAsia="hi-IN" w:bidi="hi-IN"/>
              </w:rPr>
            </w:pPr>
            <w:r>
              <w:rPr>
                <w:rFonts w:eastAsia="SimSun;宋体" w:cs="Garamond"/>
                <w:highlight w:val="white"/>
                <w:lang w:eastAsia="hi-IN" w:bidi="hi-IN"/>
              </w:rPr>
            </w:r>
          </w:p>
        </w:tc>
      </w:tr>
      <w:tr>
        <w:trPr>
          <w:trHeight w:val="623" w:hRule="atLeast"/>
        </w:trPr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Parecer/Denúncia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201975300055</w:t>
            </w:r>
          </w:p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201975300332</w:t>
            </w:r>
          </w:p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201975100360</w:t>
            </w:r>
          </w:p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4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ascii="Times New Roman" w:hAnsi="Times New Roman"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>- Denúncia – crime da Lei de Drogas;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Times New Roman" w:hAnsi="Times New Roman"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>- Denúncia – crime da Lei de Drogas;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Times New Roman" w:hAnsi="Times New Roman"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 w:ascii="Times New Roman" w:hAnsi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>- Denúncia – crime de roubo;</w:t>
            </w:r>
          </w:p>
        </w:tc>
      </w:tr>
      <w:tr>
        <w:trPr>
          <w:trHeight w:val="23" w:hRule="atLeast"/>
        </w:trPr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Razões/Contrarrazões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snapToGrid w:val="false"/>
              <w:jc w:val="center"/>
              <w:rPr>
                <w:rFonts w:eastAsia="Times New Roman"/>
                <w:b/>
                <w:b/>
                <w:bCs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A"/>
                <w:sz w:val="16"/>
                <w:szCs w:val="16"/>
                <w:lang w:val="pt-BR" w:eastAsia="pt-BR"/>
              </w:rPr>
              <w:t>200975100247</w:t>
            </w:r>
          </w:p>
        </w:tc>
        <w:tc>
          <w:tcPr>
            <w:tcW w:w="4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Normal"/>
              <w:widowControl/>
              <w:suppressAutoHyphens w:val="false"/>
              <w:jc w:val="both"/>
              <w:rPr>
                <w:rFonts w:eastAsia="Times New Roman"/>
                <w:b w:val="false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</w:pPr>
            <w:r>
              <w:rPr>
                <w:rFonts w:eastAsia="Times New Roman"/>
                <w:b w:val="false"/>
                <w:bCs w:val="false"/>
                <w:color w:val="00000A"/>
                <w:sz w:val="16"/>
                <w:szCs w:val="16"/>
                <w:lang w:val="pt-BR" w:eastAsia="pt-BR"/>
              </w:rPr>
              <w:t>- Recurso de Apelação – processo do Tribunal do Júri;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ind w:left="0" w:right="0" w:firstLine="567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A"/>
          <w:sz w:val="24"/>
          <w:szCs w:val="24"/>
        </w:rPr>
        <w:t>Atas das sessões do júri realizadas no último ano pela Promotoria encontram-se às fls. 116/127.</w:t>
      </w:r>
    </w:p>
    <w:p>
      <w:pPr>
        <w:pStyle w:val="Normal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ab/>
        <w:t>O Promotor de Justiça comunicou, no formulário de correição, que os dados do sistema Arquimedes apresentavam incongruências.</w:t>
      </w:r>
    </w:p>
    <w:p>
      <w:pPr>
        <w:pStyle w:val="Normal"/>
        <w:bidi w:val="0"/>
        <w:spacing w:lineRule="auto" w:line="360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bidi w:val="0"/>
        <w:spacing w:lineRule="auto" w:line="360"/>
        <w:jc w:val="both"/>
        <w:rPr/>
      </w:pPr>
      <w:r>
        <w:rPr>
          <w:b w:val="false"/>
          <w:bCs w:val="false"/>
          <w:color w:val="000000"/>
          <w:sz w:val="24"/>
          <w:szCs w:val="24"/>
        </w:rPr>
        <w:tab/>
        <w:t xml:space="preserve">A Corregedoria reitera que o Arquimedes é o sistema que provê os dados </w:t>
        <w:tab/>
        <w:t xml:space="preserve">oficiais da atividade judicial do Ministério Público de Sergipe, tanto para consumo interno quanto para informação junto ao CNMP, de forma que é primordial que tais dados reflitam a realidade da Promotoria. </w:t>
      </w:r>
    </w:p>
    <w:p>
      <w:pPr>
        <w:pStyle w:val="Normal"/>
        <w:bidi w:val="0"/>
        <w:spacing w:lineRule="auto" w:line="360"/>
        <w:jc w:val="both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bidi w:val="0"/>
        <w:spacing w:lineRule="auto" w:line="360"/>
        <w:jc w:val="both"/>
        <w:rPr/>
      </w:pPr>
      <w:r>
        <w:rPr>
          <w:b/>
          <w:bCs/>
          <w:color w:val="000000"/>
          <w:sz w:val="24"/>
          <w:szCs w:val="24"/>
        </w:rPr>
        <w:tab/>
      </w:r>
      <w:r>
        <w:rPr>
          <w:rFonts w:eastAsia="SimSun" w:cs="Lucida Sans"/>
          <w:b w:val="false"/>
          <w:bCs w:val="false"/>
          <w:color w:val="000000"/>
          <w:sz w:val="24"/>
          <w:szCs w:val="24"/>
          <w:lang w:val="pt-BR" w:eastAsia="zh-CN" w:bidi="hi-IN"/>
        </w:rPr>
        <w:t>Assim sendo, devem ser registrados todos os processos judiciais movimentados no sistema Arquimedes, com a correta taxonomia, e qualquer irregularidade no sistema ou dúvida quanto a sua utilização devem ser reportadas à Corregedoria Geral para suporte imediato, reduzindo a possibilidade de inconsistências e facilitando o trabalho da Promotoria.</w:t>
      </w:r>
    </w:p>
    <w:p>
      <w:pPr>
        <w:pStyle w:val="Standard"/>
        <w:widowControl w:val="false"/>
        <w:numPr>
          <w:ilvl w:val="0"/>
          <w:numId w:val="0"/>
        </w:numPr>
        <w:suppressAutoHyphens w:val="true"/>
        <w:bidi w:val="0"/>
        <w:ind w:left="843" w:right="0" w:hanging="0"/>
        <w:jc w:val="both"/>
        <w:rPr/>
      </w:pPr>
      <w:r>
        <w:rPr>
          <w:b/>
          <w:bCs/>
        </w:rPr>
        <w:t>5) ATUAÇÃO ELEITORAL (SEM ATRIBUIÇÃO)</w:t>
      </w:r>
    </w:p>
    <w:tbl>
      <w:tblPr>
        <w:tblW w:w="859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2"/>
        <w:gridCol w:w="5942"/>
      </w:tblGrid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-30" w:right="-5" w:hanging="13"/>
              <w:jc w:val="both"/>
              <w:rPr/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Zona Eleitoral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Municípios de abrangência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Início da designação</w:t>
            </w:r>
          </w:p>
          <w:p>
            <w:pPr>
              <w:pStyle w:val="Contedodetabela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Fim da designação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hanging="0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__/__/____</w:t>
            </w:r>
          </w:p>
          <w:p>
            <w:pPr>
              <w:pStyle w:val="Contedodetabela"/>
              <w:snapToGrid w:val="false"/>
              <w:ind w:left="45" w:right="-5" w:hanging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__/__/____</w:t>
            </w:r>
          </w:p>
        </w:tc>
      </w:tr>
      <w:tr>
        <w:trPr/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ind w:left="-30" w:right="-5" w:hanging="13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Iniciativas adotadas no âmbito eleitoral</w:t>
            </w:r>
          </w:p>
        </w:tc>
        <w:tc>
          <w:tcPr>
            <w:tcW w:w="59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ind w:left="45" w:right="-5" w:firstLine="13"/>
              <w:jc w:val="both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</w:tbl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andard"/>
        <w:widowControl w:val="false"/>
        <w:numPr>
          <w:ilvl w:val="0"/>
          <w:numId w:val="0"/>
        </w:numPr>
        <w:suppressAutoHyphens w:val="true"/>
        <w:bidi w:val="0"/>
        <w:ind w:left="786" w:right="0" w:hanging="0"/>
        <w:jc w:val="both"/>
        <w:rPr/>
      </w:pPr>
      <w:r>
        <w:rPr>
          <w:b/>
          <w:bCs/>
        </w:rPr>
        <w:t>6) ATUAÇÃO EXTRAJUDICIAL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andard"/>
        <w:jc w:val="both"/>
        <w:rPr/>
      </w:pPr>
      <w:r>
        <w:rPr/>
        <w:tab/>
        <w:t>(   ) Não exerce atribuição extrajudicial</w:t>
      </w:r>
    </w:p>
    <w:p>
      <w:pPr>
        <w:pStyle w:val="Standard"/>
        <w:jc w:val="both"/>
        <w:rPr/>
      </w:pPr>
      <w:r>
        <w:rPr/>
        <w:tab/>
        <w:t xml:space="preserve">(X ) Exerce atribuição extrajudicial          </w:t>
      </w:r>
    </w:p>
    <w:p>
      <w:pPr>
        <w:pStyle w:val="Standard"/>
        <w:jc w:val="both"/>
        <w:rPr/>
      </w:pPr>
      <w:r>
        <w:rPr/>
        <w:tab/>
        <w:t xml:space="preserve">Curadorias: </w:t>
      </w:r>
    </w:p>
    <w:p>
      <w:pPr>
        <w:pStyle w:val="Standard"/>
        <w:jc w:val="both"/>
        <w:rPr/>
      </w:pPr>
      <w:r>
        <w:rPr/>
      </w:r>
    </w:p>
    <w:p>
      <w:pPr>
        <w:pStyle w:val="Standard"/>
        <w:bidi w:val="0"/>
        <w:spacing w:lineRule="auto" w:line="360"/>
        <w:jc w:val="both"/>
        <w:rPr>
          <w:color w:val="000000" w:themeColor="text1"/>
        </w:rPr>
      </w:pPr>
      <w:r>
        <w:rPr>
          <w:color w:val="000000" w:themeColor="text1"/>
        </w:rPr>
        <w:tab/>
        <w:t>Na sede da Comarca (Neópolis/SE), as atribuições, conforme o art. 7º-A, da Resolução nº 016/2014-CPJ, são nas áreas relativas: aos de Direitos da Criança e do Adolescente; aos Adolescentes em Conflito com a Lei – Ato Infracional; aos Direitos à Educação; aos Direitos à Saúde; às Questões Agrárias; aos Direitos Humanos em Geral e à Assistência Social; ao Apoio às Vítimas de Crime, e ao Combate à Discriminação Racial.</w:t>
      </w:r>
    </w:p>
    <w:p>
      <w:pPr>
        <w:pStyle w:val="Standard"/>
        <w:bidi w:val="0"/>
        <w:spacing w:lineRule="auto" w:line="36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Standard"/>
        <w:bidi w:val="0"/>
        <w:spacing w:lineRule="auto" w:line="360"/>
        <w:jc w:val="both"/>
        <w:rPr/>
      </w:pPr>
      <w:r>
        <w:rPr>
          <w:color w:val="000000" w:themeColor="text1"/>
        </w:rPr>
        <w:tab/>
        <w:t>No distrito de Japoatã/SE, a 2ª Promotoria de Justiça da cidade de Neópolis/SE tem atribuição plena, conforme o art. 7º-A, parágrafo único, da resolução 016/2014-CPJ.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6.1) PROCEDIMENTOS EM ANDAMENTO (relatório do PROEJ – fls. 25/30)</w:t>
      </w:r>
    </w:p>
    <w:p>
      <w:pPr>
        <w:pStyle w:val="Standard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853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08"/>
        <w:gridCol w:w="1411"/>
        <w:gridCol w:w="1409"/>
        <w:gridCol w:w="1423"/>
        <w:gridCol w:w="1431"/>
        <w:gridCol w:w="1452"/>
      </w:tblGrid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Trâmites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Notícia de Fato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PP</w:t>
            </w:r>
          </w:p>
        </w:tc>
        <w:tc>
          <w:tcPr>
            <w:tcW w:w="1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IC</w:t>
            </w:r>
          </w:p>
        </w:tc>
        <w:tc>
          <w:tcPr>
            <w:tcW w:w="1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PIC</w:t>
            </w:r>
          </w:p>
        </w:tc>
        <w:tc>
          <w:tcPr>
            <w:tcW w:w="1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PA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Em andamento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/>
            </w:pPr>
            <w:r>
              <w:rPr>
                <w:sz w:val="20"/>
                <w:szCs w:val="20"/>
                <w:lang w:eastAsia="zh-CN" w:bidi="hi-IN"/>
              </w:rPr>
              <w:t>43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/>
            </w:pPr>
            <w:r>
              <w:rPr>
                <w:sz w:val="20"/>
                <w:szCs w:val="20"/>
                <w:lang w:eastAsia="zh-CN" w:bidi="hi-IN"/>
              </w:rPr>
              <w:t>02</w:t>
            </w:r>
          </w:p>
        </w:tc>
        <w:tc>
          <w:tcPr>
            <w:tcW w:w="1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1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01</w:t>
            </w:r>
          </w:p>
        </w:tc>
        <w:tc>
          <w:tcPr>
            <w:tcW w:w="1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/>
            </w:pPr>
            <w:r>
              <w:rPr>
                <w:sz w:val="20"/>
                <w:szCs w:val="20"/>
                <w:lang w:eastAsia="zh-CN" w:bidi="hi-IN"/>
              </w:rPr>
              <w:t>13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Fora do Prazo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Numeração dos procedimentos mais antigos (instaurados antes de 2016)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  <w:tr>
        <w:trPr/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Procedimentos com mais de 90 dias sem movimentação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6.2) ESTATÍSTICA EXTRAJUDICIAL (relatório do PROEJ – fls. 31/39)</w:t>
      </w:r>
    </w:p>
    <w:p>
      <w:pPr>
        <w:pStyle w:val="Standard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855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6"/>
        <w:gridCol w:w="1026"/>
        <w:gridCol w:w="1001"/>
        <w:gridCol w:w="1050"/>
        <w:gridCol w:w="874"/>
        <w:gridCol w:w="1250"/>
        <w:gridCol w:w="1226"/>
        <w:gridCol w:w="1126"/>
      </w:tblGrid>
      <w:tr>
        <w:trPr/>
        <w:tc>
          <w:tcPr>
            <w:tcW w:w="8549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EXTRAJUDICIAL – ESTATÍSTICA DO PROMOTOR (Período: 06/05/2018 a 06/05/2019)</w:t>
            </w:r>
          </w:p>
        </w:tc>
      </w:tr>
      <w:tr>
        <w:trPr/>
        <w:tc>
          <w:tcPr>
            <w:tcW w:w="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14"/>
                <w:szCs w:val="14"/>
                <w:lang w:eastAsia="zh-CN" w:bidi="hi-IN"/>
              </w:rPr>
              <w:t xml:space="preserve"> </w:t>
            </w:r>
            <w:r>
              <w:rPr>
                <w:sz w:val="14"/>
                <w:szCs w:val="14"/>
                <w:lang w:eastAsia="zh-CN" w:bidi="hi-IN"/>
              </w:rPr>
              <w:t>Trâmites realizados</w:t>
            </w:r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Ações cautelares ajuizadas</w:t>
            </w:r>
          </w:p>
        </w:tc>
        <w:tc>
          <w:tcPr>
            <w:tcW w:w="10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Ações civis públicas ajuizadas</w:t>
            </w:r>
          </w:p>
        </w:tc>
        <w:tc>
          <w:tcPr>
            <w:tcW w:w="1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Ações de improbidade ajuizadas</w:t>
            </w:r>
          </w:p>
        </w:tc>
        <w:tc>
          <w:tcPr>
            <w:tcW w:w="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TAC's celebrados</w:t>
            </w:r>
          </w:p>
        </w:tc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14"/>
                <w:szCs w:val="14"/>
                <w:lang w:eastAsia="zh-CN" w:bidi="hi-IN"/>
              </w:rPr>
              <w:t xml:space="preserve"> </w:t>
            </w:r>
            <w:r>
              <w:rPr>
                <w:sz w:val="14"/>
                <w:szCs w:val="14"/>
                <w:lang w:eastAsia="zh-CN" w:bidi="hi-IN"/>
              </w:rPr>
              <w:t>Audiências Extrajudiciais  realizadas</w:t>
            </w:r>
          </w:p>
        </w:tc>
        <w:tc>
          <w:tcPr>
            <w:tcW w:w="1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14"/>
                <w:szCs w:val="14"/>
                <w:lang w:eastAsia="zh-CN" w:bidi="hi-IN"/>
              </w:rPr>
              <w:t xml:space="preserve"> </w:t>
            </w:r>
            <w:r>
              <w:rPr>
                <w:sz w:val="14"/>
                <w:szCs w:val="14"/>
                <w:lang w:eastAsia="zh-CN" w:bidi="hi-IN"/>
              </w:rPr>
              <w:t>Audiências públicas realizadas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Recomendações Expedidas</w:t>
            </w:r>
          </w:p>
        </w:tc>
      </w:tr>
      <w:tr>
        <w:trPr/>
        <w:tc>
          <w:tcPr>
            <w:tcW w:w="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sz w:val="20"/>
                <w:szCs w:val="20"/>
                <w:lang w:eastAsia="zh-CN" w:bidi="hi-IN"/>
              </w:rPr>
              <w:t>1.391</w:t>
            </w:r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0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07</w:t>
            </w:r>
          </w:p>
        </w:tc>
        <w:tc>
          <w:tcPr>
            <w:tcW w:w="1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07</w:t>
            </w:r>
          </w:p>
        </w:tc>
        <w:tc>
          <w:tcPr>
            <w:tcW w:w="1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03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111111"/>
              </w:rPr>
            </w:pPr>
            <w:r>
              <w:rPr>
                <w:color w:val="111111"/>
                <w:sz w:val="20"/>
                <w:szCs w:val="20"/>
                <w:lang w:eastAsia="zh-CN" w:bidi="hi-IN"/>
              </w:rPr>
              <w:t>01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>
          <w:color w:val="000000" w:themeColor="text1"/>
        </w:rPr>
        <w:t>Obs. do Promotor: Apesar de o relatório constar como três audiências públicas, creio que tenha se tratado de audiências extrajudiciais, as quais podem ter sido lançadas no sistema do Proej como sendo audiências públicas.</w:t>
      </w:r>
    </w:p>
    <w:p>
      <w:pPr>
        <w:pStyle w:val="Standard"/>
        <w:jc w:val="both"/>
        <w:rPr/>
      </w:pPr>
      <w:r>
        <w:rPr/>
      </w:r>
    </w:p>
    <w:tbl>
      <w:tblPr>
        <w:tblW w:w="856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7"/>
        <w:gridCol w:w="1217"/>
        <w:gridCol w:w="1216"/>
        <w:gridCol w:w="1216"/>
        <w:gridCol w:w="1217"/>
        <w:gridCol w:w="1216"/>
        <w:gridCol w:w="1265"/>
      </w:tblGrid>
      <w:tr>
        <w:trPr/>
        <w:tc>
          <w:tcPr>
            <w:tcW w:w="8564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EXTRAJUDICIAL – ESTATÍSTICA DA PROMOTORIA  - PROVIDÊNCIAS DECORRENTES (Período: 06/05/2018 a 06/05/2019)</w:t>
            </w:r>
          </w:p>
        </w:tc>
      </w:tr>
      <w:tr>
        <w:trPr/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ações cautelares ajuizadas</w:t>
            </w:r>
          </w:p>
        </w:tc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ações civis públicas ajuizadas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ações de improbidade ajuizadas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ações criminais ajuizadas</w:t>
            </w:r>
          </w:p>
        </w:tc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TAC's celebrados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Quantidade de ações de execuções ajuizadas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8"/>
                <w:szCs w:val="18"/>
                <w:lang w:eastAsia="zh-CN" w:bidi="hi-IN"/>
              </w:rPr>
            </w:pPr>
            <w:r>
              <w:rPr>
                <w:sz w:val="18"/>
                <w:szCs w:val="18"/>
                <w:lang w:eastAsia="zh-CN" w:bidi="hi-IN"/>
              </w:rPr>
              <w:t>TOTAL</w:t>
            </w:r>
          </w:p>
        </w:tc>
      </w:tr>
      <w:tr>
        <w:trPr/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00</w:t>
            </w:r>
          </w:p>
        </w:tc>
        <w:tc>
          <w:tcPr>
            <w:tcW w:w="1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10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Obs. do Promotor: Há de se ressaltar que a 2ª Promotoria de Justiça da cidade de Neópolis/SE só foi criada em maio de 2018, porém instalada em setembro de 2018.</w:t>
      </w:r>
    </w:p>
    <w:p>
      <w:pPr>
        <w:pStyle w:val="Standard"/>
        <w:jc w:val="both"/>
        <w:rPr/>
      </w:pPr>
      <w:r>
        <w:rPr/>
      </w:r>
    </w:p>
    <w:tbl>
      <w:tblPr>
        <w:tblW w:w="889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15"/>
        <w:gridCol w:w="949"/>
        <w:gridCol w:w="931"/>
        <w:gridCol w:w="932"/>
        <w:gridCol w:w="933"/>
        <w:gridCol w:w="918"/>
        <w:gridCol w:w="1095"/>
        <w:gridCol w:w="990"/>
        <w:gridCol w:w="1231"/>
      </w:tblGrid>
      <w:tr>
        <w:trPr/>
        <w:tc>
          <w:tcPr>
            <w:tcW w:w="889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/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EXTRAJUDICIAL – ESTATÍSTICA DA PROMOTORIA (Período: 06/05/2018 a 06/05/2019)</w:t>
            </w:r>
          </w:p>
        </w:tc>
      </w:tr>
      <w:tr>
        <w:trPr/>
        <w:tc>
          <w:tcPr>
            <w:tcW w:w="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registro de Notícias de Fato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instauração de Procedimentos Preparatórios</w:t>
            </w:r>
          </w:p>
        </w:tc>
        <w:tc>
          <w:tcPr>
            <w:tcW w:w="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instauração de Inquéritos Civis</w:t>
            </w:r>
          </w:p>
        </w:tc>
        <w:tc>
          <w:tcPr>
            <w:tcW w:w="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instauração de PIC’s</w:t>
            </w:r>
          </w:p>
        </w:tc>
        <w:tc>
          <w:tcPr>
            <w:tcW w:w="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instauração de PA’s</w:t>
            </w:r>
          </w:p>
        </w:tc>
        <w:tc>
          <w:tcPr>
            <w:tcW w:w="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Arquivamento sumário</w:t>
            </w: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Arquivamento com Remessa/CSMP ou Arquivamento com Remessa/Órgão Externo</w:t>
            </w:r>
          </w:p>
        </w:tc>
        <w:tc>
          <w:tcPr>
            <w:tcW w:w="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Arquivamento - Acordo Entre Partes</w:t>
            </w:r>
          </w:p>
        </w:tc>
        <w:tc>
          <w:tcPr>
            <w:tcW w:w="1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14"/>
                <w:szCs w:val="14"/>
                <w:lang w:eastAsia="zh-CN" w:bidi="hi-IN"/>
              </w:rPr>
            </w:pPr>
            <w:r>
              <w:rPr>
                <w:sz w:val="14"/>
                <w:szCs w:val="14"/>
                <w:lang w:eastAsia="zh-CN" w:bidi="hi-IN"/>
              </w:rPr>
              <w:t>Declinação de Atribuição/Mesmo Ramo</w:t>
            </w:r>
          </w:p>
        </w:tc>
      </w:tr>
      <w:tr>
        <w:trPr/>
        <w:tc>
          <w:tcPr>
            <w:tcW w:w="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87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20</w:t>
            </w: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</w:t>
            </w:r>
          </w:p>
        </w:tc>
        <w:tc>
          <w:tcPr>
            <w:tcW w:w="1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  <w:vAlign w:val="center"/>
          </w:tcPr>
          <w:p>
            <w:pPr>
              <w:pStyle w:val="Contedodetabela"/>
              <w:snapToGrid w:val="false"/>
              <w:spacing w:lineRule="atLeast" w:line="200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0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  <w:t>6.3) PRINCIPAIS ACP'S EM CURSO</w:t>
      </w:r>
    </w:p>
    <w:tbl>
      <w:tblPr>
        <w:tblW w:w="8745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45"/>
      </w:tblGrid>
      <w:tr>
        <w:trPr/>
        <w:tc>
          <w:tcPr>
            <w:tcW w:w="8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8" w:type="dxa"/>
            </w:tcMar>
          </w:tcPr>
          <w:p>
            <w:pPr>
              <w:pStyle w:val="Standard"/>
              <w:snapToGrid w:val="false"/>
              <w:jc w:val="center"/>
              <w:rPr/>
            </w:pPr>
            <w:r>
              <w:rPr>
                <w:rFonts w:eastAsia="SimSun, 宋体" w:cs="Garamond" w:ascii="Garamond" w:hAnsi="Garamond"/>
                <w:b/>
                <w:sz w:val="20"/>
                <w:szCs w:val="20"/>
                <w:lang w:eastAsia="hi-IN" w:bidi="hi-IN"/>
              </w:rPr>
              <w:t xml:space="preserve">Principais ACP's e Ações de Improbidade em curso ajuizadas pelo membro correcionado no último ano </w:t>
            </w:r>
          </w:p>
        </w:tc>
      </w:tr>
      <w:tr>
        <w:trPr/>
        <w:tc>
          <w:tcPr>
            <w:tcW w:w="8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Standard"/>
              <w:snapToGrid w:val="false"/>
              <w:rPr>
                <w:rFonts w:ascii="Garamond" w:hAnsi="Garamond" w:eastAsia="SimSun, 宋体" w:cs="Garamond"/>
                <w:b/>
                <w:b/>
                <w:sz w:val="20"/>
                <w:szCs w:val="20"/>
                <w:lang w:eastAsia="hi-IN" w:bidi="hi-IN"/>
              </w:rPr>
            </w:pPr>
            <w:r>
              <w:rPr>
                <w:rFonts w:eastAsia="SimSun, 宋体" w:cs="Garamond" w:ascii="Garamond" w:hAnsi="Garamond"/>
                <w:b/>
                <w:sz w:val="20"/>
                <w:szCs w:val="20"/>
                <w:lang w:eastAsia="hi-IN" w:bidi="hi-IN"/>
              </w:rPr>
            </w:r>
          </w:p>
          <w:tbl>
            <w:tblPr>
              <w:tblW w:w="8655" w:type="dxa"/>
              <w:jc w:val="left"/>
              <w:tblInd w:w="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517"/>
              <w:gridCol w:w="7137"/>
            </w:tblGrid>
            <w:tr>
              <w:trPr>
                <w:tblHeader w:val="true"/>
              </w:trPr>
              <w:tc>
                <w:tcPr>
                  <w:tcW w:w="151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color="auto" w:fill="D9D9D9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center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Número da ACP</w:t>
                  </w:r>
                </w:p>
              </w:tc>
              <w:tc>
                <w:tcPr>
                  <w:tcW w:w="713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color="auto" w:fill="D9D9D9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center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Objeto da ACP</w:t>
                  </w:r>
                </w:p>
              </w:tc>
            </w:tr>
            <w:tr>
              <w:trPr/>
              <w:tc>
                <w:tcPr>
                  <w:tcW w:w="151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</w:r>
                </w:p>
                <w:p>
                  <w:pPr>
                    <w:pStyle w:val="Standard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201975300385</w:t>
                  </w:r>
                </w:p>
              </w:tc>
              <w:tc>
                <w:tcPr>
                  <w:tcW w:w="713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color w:val="000000" w:themeColor="text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color w:val="000000" w:themeColor="text1"/>
                      <w:sz w:val="20"/>
                      <w:szCs w:val="20"/>
                      <w:lang w:eastAsia="hi-IN" w:bidi="hi-IN"/>
                    </w:rPr>
                    <w:t>Ação em face do Estado de Sergipe para dar cumprimento à (re)pacutação entre este e os município de Neópolis/SE e Santana do São Francisco/SE na manutenção da Casa Lar situada no Município de Neópolis/SE</w:t>
                  </w:r>
                </w:p>
              </w:tc>
            </w:tr>
            <w:tr>
              <w:trPr/>
              <w:tc>
                <w:tcPr>
                  <w:tcW w:w="151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201975100416</w:t>
                  </w:r>
                </w:p>
                <w:p>
                  <w:pPr>
                    <w:pStyle w:val="Standard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</w:r>
                </w:p>
              </w:tc>
              <w:tc>
                <w:tcPr>
                  <w:tcW w:w="713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Ação que visa a discutir o edital nº 001/2019, que deu início ao Processo Seletivo Simplificado no município de Japoatã/SE</w:t>
                  </w:r>
                </w:p>
              </w:tc>
            </w:tr>
          </w:tbl>
          <w:p>
            <w:pPr>
              <w:pStyle w:val="Standard"/>
              <w:rPr>
                <w:lang w:eastAsia="zh-CN" w:bidi="hi-IN"/>
              </w:rPr>
            </w:pPr>
            <w:r>
              <w:rPr>
                <w:lang w:eastAsia="zh-CN" w:bidi="hi-IN"/>
              </w:rPr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  <w:t>6.4) TAC'S CELEBRADOS/RECOMENDAÇÕES EXPEDIDAS</w:t>
      </w:r>
    </w:p>
    <w:tbl>
      <w:tblPr>
        <w:tblW w:w="8745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45"/>
      </w:tblGrid>
      <w:tr>
        <w:trPr/>
        <w:tc>
          <w:tcPr>
            <w:tcW w:w="8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8" w:type="dxa"/>
            </w:tcMar>
          </w:tcPr>
          <w:p>
            <w:pPr>
              <w:pStyle w:val="Standard"/>
              <w:snapToGrid w:val="false"/>
              <w:jc w:val="center"/>
              <w:rPr/>
            </w:pPr>
            <w:r>
              <w:rPr>
                <w:rFonts w:eastAsia="SimSun, 宋体" w:cs="Garamond" w:ascii="Garamond" w:hAnsi="Garamond"/>
                <w:b/>
                <w:sz w:val="20"/>
                <w:szCs w:val="20"/>
                <w:lang w:eastAsia="hi-IN" w:bidi="hi-IN"/>
              </w:rPr>
              <w:t>TAC's celebrados/Recomendações expedidas pelo membro correcionado no último ano – fl. 128</w:t>
            </w:r>
          </w:p>
        </w:tc>
      </w:tr>
      <w:tr>
        <w:trPr/>
        <w:tc>
          <w:tcPr>
            <w:tcW w:w="8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Standard"/>
              <w:snapToGrid w:val="false"/>
              <w:rPr>
                <w:rFonts w:ascii="Garamond" w:hAnsi="Garamond" w:eastAsia="SimSun, 宋体" w:cs="Garamond"/>
                <w:b/>
                <w:b/>
                <w:sz w:val="20"/>
                <w:szCs w:val="20"/>
                <w:lang w:eastAsia="hi-IN" w:bidi="hi-IN"/>
              </w:rPr>
            </w:pPr>
            <w:r>
              <w:rPr>
                <w:rFonts w:eastAsia="SimSun, 宋体" w:cs="Garamond" w:ascii="Garamond" w:hAnsi="Garamond"/>
                <w:b/>
                <w:sz w:val="20"/>
                <w:szCs w:val="20"/>
                <w:lang w:eastAsia="hi-IN" w:bidi="hi-IN"/>
              </w:rPr>
            </w:r>
          </w:p>
          <w:tbl>
            <w:tblPr>
              <w:tblW w:w="8655" w:type="dxa"/>
              <w:jc w:val="left"/>
              <w:tblInd w:w="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014"/>
              <w:gridCol w:w="6640"/>
            </w:tblGrid>
            <w:tr>
              <w:trPr>
                <w:tblHeader w:val="true"/>
              </w:trPr>
              <w:tc>
                <w:tcPr>
                  <w:tcW w:w="20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color="auto" w:fill="D9D9D9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center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Número do TAC/Recomendação</w:t>
                  </w:r>
                </w:p>
              </w:tc>
              <w:tc>
                <w:tcPr>
                  <w:tcW w:w="664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color="auto" w:fill="D9D9D9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center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Temática</w:t>
                  </w:r>
                </w:p>
              </w:tc>
            </w:tr>
            <w:tr>
              <w:trPr/>
              <w:tc>
                <w:tcPr>
                  <w:tcW w:w="201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insideH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</w:r>
                </w:p>
                <w:p>
                  <w:pPr>
                    <w:pStyle w:val="Standard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Recomendação 001/2019</w:t>
                  </w:r>
                </w:p>
              </w:tc>
              <w:tc>
                <w:tcPr>
                  <w:tcW w:w="664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  <w:insideH w:val="single" w:sz="4" w:space="0" w:color="000001"/>
                    <w:insideV w:val="single" w:sz="4" w:space="0" w:color="000001"/>
                  </w:tcBorders>
                  <w:shd w:fill="auto" w:val="clear"/>
                  <w:tcMar>
                    <w:left w:w="63" w:type="dxa"/>
                  </w:tcMar>
                </w:tcPr>
                <w:p>
                  <w:pPr>
                    <w:pStyle w:val="Standard"/>
                    <w:snapToGrid w:val="false"/>
                    <w:jc w:val="both"/>
                    <w:rPr>
                      <w:rFonts w:ascii="Garamond" w:hAnsi="Garamond" w:eastAsia="SimSun, 宋体" w:cs="Garamond"/>
                      <w:b/>
                      <w:b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, 宋体" w:cs="Garamond" w:ascii="Garamond" w:hAnsi="Garamond"/>
                      <w:b/>
                      <w:sz w:val="20"/>
                      <w:szCs w:val="20"/>
                      <w:lang w:eastAsia="hi-IN" w:bidi="hi-IN"/>
                    </w:rPr>
                    <w:t>Para ajustar o edital acerca da eleição para a escolha dos membros do Conselho Tutelar ao quanto preceituado pela Lei do Município de Neópolis/SE de número 809/207, especificamente o quanto estipulado em seu art. 40;</w:t>
                  </w:r>
                </w:p>
              </w:tc>
            </w:tr>
          </w:tbl>
          <w:p>
            <w:pPr>
              <w:pStyle w:val="Standard"/>
              <w:rPr>
                <w:lang w:eastAsia="zh-CN" w:bidi="hi-IN"/>
              </w:rPr>
            </w:pPr>
            <w:r>
              <w:rPr>
                <w:lang w:eastAsia="zh-CN" w:bidi="hi-IN"/>
              </w:rPr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>
          <w:b/>
          <w:bCs/>
        </w:rPr>
        <w:t>6.5) ATUAÇÃO COMO MEMBRO DESIGNADO</w:t>
      </w:r>
    </w:p>
    <w:p>
      <w:pPr>
        <w:pStyle w:val="Standard"/>
        <w:jc w:val="both"/>
        <w:rPr/>
      </w:pPr>
      <w:r>
        <w:rPr/>
      </w:r>
    </w:p>
    <w:tbl>
      <w:tblPr>
        <w:tblW w:w="924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013"/>
        <w:gridCol w:w="3226"/>
      </w:tblGrid>
      <w:tr>
        <w:trPr/>
        <w:tc>
          <w:tcPr>
            <w:tcW w:w="6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Procedimentos em que o Promotor correcionado atua(ou) como membro designado</w:t>
            </w:r>
          </w:p>
        </w:tc>
        <w:tc>
          <w:tcPr>
            <w:tcW w:w="3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DDDDDD" w:val="clear"/>
            <w:tcMar>
              <w:left w:w="38" w:type="dxa"/>
            </w:tcMar>
          </w:tcPr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Situação do Procedimento</w:t>
            </w:r>
          </w:p>
          <w:p>
            <w:pPr>
              <w:pStyle w:val="Contedodatabela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(encerrado ou em andamento)</w:t>
            </w:r>
          </w:p>
        </w:tc>
      </w:tr>
      <w:tr>
        <w:trPr/>
        <w:tc>
          <w:tcPr>
            <w:tcW w:w="6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atabela"/>
              <w:snapToGrid w:val="false"/>
              <w:rPr>
                <w:color w:val="111111"/>
              </w:rPr>
            </w:pPr>
            <w:r>
              <w:rPr>
                <w:color w:val="111111"/>
                <w:lang w:eastAsia="zh-CN" w:bidi="hi-IN"/>
              </w:rPr>
              <w:t>69.17.01.0029</w:t>
            </w:r>
          </w:p>
        </w:tc>
        <w:tc>
          <w:tcPr>
            <w:tcW w:w="3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atabela"/>
              <w:snapToGrid w:val="false"/>
              <w:rPr>
                <w:lang w:eastAsia="zh-CN" w:bidi="hi-IN"/>
              </w:rPr>
            </w:pPr>
            <w:r>
              <w:rPr>
                <w:color w:val="111111"/>
                <w:lang w:eastAsia="zh-CN" w:bidi="hi-IN"/>
              </w:rPr>
              <w:t>Remetido ao CSMP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widowControl w:val="false"/>
        <w:numPr>
          <w:ilvl w:val="0"/>
          <w:numId w:val="0"/>
        </w:numPr>
        <w:suppressAutoHyphens w:val="true"/>
        <w:bidi w:val="0"/>
        <w:ind w:left="786" w:right="0" w:hanging="0"/>
        <w:jc w:val="both"/>
        <w:rPr/>
      </w:pPr>
      <w:r>
        <w:rPr>
          <w:b/>
          <w:bCs/>
        </w:rPr>
        <w:t>7) ALIMENTAÇÃO DE SISTEMAS DE INFORMAÇÃO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3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20"/>
        <w:gridCol w:w="1579"/>
        <w:gridCol w:w="1754"/>
        <w:gridCol w:w="1781"/>
      </w:tblGrid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Relatórios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Em dia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Pendente</w:t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b/>
                <w:b/>
                <w:bCs/>
                <w:lang w:eastAsia="zh-CN" w:bidi="hi-IN"/>
              </w:rPr>
            </w:pPr>
            <w:r>
              <w:rPr>
                <w:b/>
                <w:bCs/>
                <w:lang w:eastAsia="zh-CN" w:bidi="hi-IN"/>
              </w:rPr>
              <w:t>Sem Atribuição</w:t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sz w:val="20"/>
                <w:szCs w:val="20"/>
                <w:lang w:eastAsia="zh-CN" w:bidi="hi-IN"/>
              </w:rPr>
              <w:t>ARQUIMEDES – fls. 20/22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sz w:val="20"/>
                <w:szCs w:val="20"/>
                <w:lang w:eastAsia="zh-CN" w:bidi="hi-IN"/>
              </w:rPr>
              <w:t>CITT (Interceptações Telefônicas) – Res. 36/CNMP – fl. 19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sz w:val="20"/>
                <w:szCs w:val="20"/>
                <w:lang w:eastAsia="zh-CN" w:bidi="hi-IN"/>
              </w:rPr>
              <w:t>Entidades de Acolhimento – Res. 71/CNMP – fl. 24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Unidades Prisionais – Res. 56/CNMP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Unidades Sócio-Educativas – Res. 67/CNMP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sz w:val="20"/>
                <w:szCs w:val="20"/>
                <w:lang w:eastAsia="zh-CN" w:bidi="hi-IN"/>
              </w:rPr>
              <w:t>Delegacias de Polícia/Batalhões Militares – Res. 20/CNMP – fl. 23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Atividade Eleitoral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</w:tr>
      <w:tr>
        <w:trPr/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sz w:val="20"/>
                <w:szCs w:val="20"/>
                <w:lang w:eastAsia="zh-CN" w:bidi="hi-IN"/>
              </w:rPr>
              <w:t>DISQUE 100 – fl. 11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( 0  ) Caixa de entrada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( 0  ) Em análise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( 22  ) Arquivadas</w:t>
            </w:r>
          </w:p>
        </w:tc>
        <w:tc>
          <w:tcPr>
            <w:tcW w:w="1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  <w:tc>
          <w:tcPr>
            <w:tcW w:w="1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x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widowControl w:val="false"/>
        <w:numPr>
          <w:ilvl w:val="0"/>
          <w:numId w:val="0"/>
        </w:numPr>
        <w:suppressAutoHyphens w:val="true"/>
        <w:bidi w:val="0"/>
        <w:ind w:left="786" w:right="0" w:hanging="0"/>
        <w:jc w:val="both"/>
        <w:rPr/>
      </w:pPr>
      <w:r>
        <w:rPr>
          <w:b/>
          <w:bCs/>
        </w:rPr>
        <w:t>8) VISITAS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8.1 VISITAS A DELEGACIAS DE POLÍCIA – fls. 129/133</w:t>
      </w:r>
      <w:r>
        <w:rPr>
          <w:sz w:val="20"/>
          <w:szCs w:val="20"/>
        </w:rPr>
        <w:t xml:space="preserve"> (x ) Sim    (   ) Não    (    ) Sem atribuição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8.2 VISITAS A PRESÍDIOS</w:t>
      </w:r>
      <w:r>
        <w:rPr>
          <w:sz w:val="20"/>
          <w:szCs w:val="20"/>
        </w:rPr>
        <w:t xml:space="preserve">   (   ) Sim    (   ) Não    (x) Sem atribuição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8.3 VISITAS A ENTIDADES DE ACOLHIMENTO DE CRIANÇAS E ADOLESCENTES EM SITUAÇÃO DE RISCO – fls. 134/135</w:t>
      </w:r>
      <w:r>
        <w:rPr>
          <w:sz w:val="20"/>
          <w:szCs w:val="20"/>
        </w:rPr>
        <w:t xml:space="preserve"> (x) Sim    (   ) Não     (    ) Sem atribuição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8.4 VISITAS A UNIDADES SOCIOEDUCATIVAS</w:t>
      </w:r>
      <w:r>
        <w:rPr>
          <w:sz w:val="20"/>
          <w:szCs w:val="20"/>
        </w:rPr>
        <w:t xml:space="preserve"> (   ) Sim  (   ) Não     (x) Sem atribuição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8.5 VISITAS A INSTITUIÇÕES DE LONGA PERMANÊNCIA DE IDOSOS</w:t>
      </w:r>
      <w:r>
        <w:rPr>
          <w:sz w:val="20"/>
          <w:szCs w:val="20"/>
        </w:rPr>
        <w:t xml:space="preserve"> (   ) Sim  (x) Não    (   ) Sem atribuição     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sz w:val="20"/>
          <w:szCs w:val="20"/>
        </w:rPr>
        <w:t>A 2ª Promotoria de Justiça da cidade de Neópolis/SE tem atribuição na defesa dos direitos da pessoa idosa apenas na cidade de Japoatã/SE, sendo que nesta cidade não existem instituições de longa permanência de idosos.</w:t>
      </w:r>
    </w:p>
    <w:p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both"/>
        <w:rPr/>
      </w:pPr>
      <w:r>
        <w:rPr>
          <w:b/>
          <w:bCs/>
          <w:sz w:val="20"/>
          <w:szCs w:val="20"/>
        </w:rPr>
        <w:t>8.6 OUTRAS VISITAS EXTERNAS</w:t>
      </w:r>
      <w:r>
        <w:rPr>
          <w:sz w:val="20"/>
          <w:szCs w:val="20"/>
        </w:rPr>
        <w:t xml:space="preserve">  (   ) Sim  (x) Não  (Especificar e juntar relatórios)</w:t>
      </w:r>
    </w:p>
    <w:p>
      <w:pPr>
        <w:pStyle w:val="Standard"/>
        <w:jc w:val="both"/>
        <w:rPr/>
      </w:pPr>
      <w:r>
        <w:rPr/>
        <w:tab/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  <w:t>9) ELOGIOS, PRÊMIOS, CURSOS E CONGRESSOS</w:t>
      </w:r>
    </w:p>
    <w:p>
      <w:pPr>
        <w:pStyle w:val="Standard"/>
        <w:jc w:val="both"/>
        <w:rPr/>
      </w:pPr>
      <w:r>
        <w:rPr>
          <w:b/>
          <w:bCs/>
        </w:rPr>
        <w:tab/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  <w:tab/>
      </w:r>
      <w:r>
        <w:rPr>
          <w:b w:val="false"/>
          <w:bCs w:val="false"/>
        </w:rPr>
        <w:t>O Promotor de Justiça registrou:</w:t>
      </w:r>
    </w:p>
    <w:p>
      <w:pPr>
        <w:pStyle w:val="Standard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Standard"/>
        <w:bidi w:val="0"/>
        <w:spacing w:lineRule="auto" w:line="360"/>
        <w:jc w:val="both"/>
        <w:rPr/>
      </w:pPr>
      <w:r>
        <w:rPr>
          <w:color w:val="111111"/>
        </w:rPr>
        <w:tab/>
        <w:t>Prêmios concedidos pelo Conmea e pela FENEM pela atuação junto à 6ª Promotoria de Justiça dos Direitos do Cidadão na cidade de Aracaju/SE, com atribuição na área dos Direitos à Educação.</w:t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bidi w:val="0"/>
        <w:spacing w:lineRule="auto" w:line="360"/>
        <w:jc w:val="both"/>
        <w:rPr>
          <w:color w:val="111111"/>
        </w:rPr>
      </w:pPr>
      <w:r>
        <w:rPr>
          <w:color w:val="111111"/>
        </w:rPr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  <w:t>10) AVALIAÇÃO QUALITATIVA DA ATUAÇÃO FUNCIONAL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550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61"/>
        <w:gridCol w:w="1633"/>
        <w:gridCol w:w="3456"/>
      </w:tblGrid>
      <w:tr>
        <w:trPr/>
        <w:tc>
          <w:tcPr>
            <w:tcW w:w="50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Footnote"/>
              <w:snapToGrid w:val="false"/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Descrever e especificar as atividades desenvolvidas, inclusive em outros órgãos onde atua/atuou.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Footnote"/>
              <w:snapToGrid w:val="false"/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Descrição da atividade desenvolvida</w:t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11.1 Exercício da função pedagógica da cidadania</w:t>
            </w:r>
            <w:r>
              <w:rPr>
                <w:rStyle w:val="Ncoradanotaderodap"/>
                <w:b/>
                <w:bCs/>
                <w:sz w:val="20"/>
                <w:szCs w:val="20"/>
                <w:lang w:eastAsia="zh-CN" w:bidi="hi-IN"/>
              </w:rPr>
              <w:footnoteReference w:id="3"/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Sim   (x)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11.2 Realização periódica de audiências públicas</w:t>
            </w:r>
            <w:r>
              <w:rPr>
                <w:rStyle w:val="Ncoradanotaderodap"/>
                <w:b/>
                <w:bCs/>
                <w:sz w:val="20"/>
                <w:szCs w:val="20"/>
                <w:lang w:eastAsia="zh-CN" w:bidi="hi-IN"/>
              </w:rPr>
              <w:footnoteReference w:id="4"/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Sim   (x)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11.3 Combater as causas que geram desigualdades</w:t>
            </w:r>
            <w:r>
              <w:rPr>
                <w:rStyle w:val="Ncoradanotaderodap"/>
                <w:b/>
                <w:bCs/>
                <w:sz w:val="20"/>
                <w:szCs w:val="20"/>
                <w:lang w:eastAsia="zh-CN" w:bidi="hi-IN"/>
              </w:rPr>
              <w:footnoteReference w:id="5"/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   ) Sim   (x)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11.4 Incentivo ao controle de constitucionalidade</w:t>
            </w:r>
            <w:r>
              <w:rPr>
                <w:rStyle w:val="Ncoradanotaderodap"/>
                <w:b/>
                <w:bCs/>
                <w:sz w:val="20"/>
                <w:szCs w:val="20"/>
                <w:lang w:eastAsia="zh-CN" w:bidi="hi-IN"/>
              </w:rPr>
              <w:footnoteReference w:id="6"/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Foi enviado o GED de número 20.27.0272.0000004/2019-30</w:t>
            </w:r>
            <w:r>
              <w:rPr>
                <w:color w:val="FF0000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sz w:val="20"/>
                <w:szCs w:val="20"/>
                <w:lang w:eastAsia="zh-CN" w:bidi="hi-IN"/>
              </w:rPr>
              <w:t>ao PGJ para que analisasse a constitucionalidade da Lei Municipal nº 453/2018 (Município de Japoatã/SE);</w:t>
            </w:r>
          </w:p>
          <w:p>
            <w:pPr>
              <w:pStyle w:val="Contedodetabela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 w:bidi="hi-IN"/>
              </w:rPr>
              <w:t>Nos autos do processo de número 201975300385, foi suscitado o controle de constitucionalidade difuso;</w:t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Standard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11.5 Fiscalização do cumprimento das sentenças de procedência proferidas em ações promovidas pelo MP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À medida que for tomando ciência de tais decisões, eis que a 2ª Vara da Comarca de Neópolis/SE, bem como a 2ª Promotoria de Justiça da cidade de Neópolis/SE contam com menos de 01 (um) ano de instalação.</w:t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11.6 Incentivar o cumprimento da Resolução 118 do CNMP: priorização da resolução consensual das demandas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/>
            </w:pPr>
            <w:r>
              <w:rPr>
                <w:sz w:val="20"/>
                <w:szCs w:val="20"/>
                <w:lang w:eastAsia="zh-CN" w:bidi="hi-IN"/>
              </w:rPr>
              <w:t>(x)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/>
            </w:pPr>
            <w:r>
              <w:rPr>
                <w:color w:val="111111"/>
                <w:sz w:val="20"/>
                <w:szCs w:val="20"/>
                <w:lang w:eastAsia="zh-CN" w:bidi="hi-IN"/>
              </w:rPr>
              <w:t>Nos processos em que atua, sempre que possível pede a desginação de audiência de conciliação, bem como</w:t>
            </w:r>
            <w:r>
              <w:rPr>
                <w:color w:val="FF0000"/>
                <w:sz w:val="20"/>
                <w:szCs w:val="20"/>
                <w:lang w:eastAsia="zh-CN" w:bidi="hi-IN"/>
              </w:rPr>
              <w:t xml:space="preserve"> </w:t>
            </w:r>
          </w:p>
        </w:tc>
      </w:tr>
      <w:tr>
        <w:trPr/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E6E6E6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both"/>
              <w:rPr>
                <w:b/>
                <w:b/>
                <w:bCs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sz w:val="20"/>
                <w:szCs w:val="20"/>
                <w:lang w:eastAsia="zh-CN" w:bidi="hi-IN"/>
              </w:rPr>
              <w:t>11.7 Atua ou atuou em casos complexos ou de repercussão social no último ano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jc w:val="center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(X) Sim   (   ) Não</w:t>
            </w:r>
          </w:p>
        </w:tc>
        <w:tc>
          <w:tcPr>
            <w:tcW w:w="3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Contedodetabela"/>
              <w:snapToGrid w:val="false"/>
              <w:rPr>
                <w:color w:val="000000" w:themeColor="text1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Na época em que estive atuando junto à 6ª Promotoria de Justiça dos Direitos do Cidadão da cidade de Aracaju/SE:</w:t>
            </w:r>
          </w:p>
          <w:p>
            <w:pPr>
              <w:pStyle w:val="Contedodetabela"/>
              <w:snapToGrid w:val="false"/>
              <w:rPr>
                <w:color w:val="000000" w:themeColor="text1"/>
              </w:rPr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 xml:space="preserve">O ajuizamento de ação em litisconsórcio com o MPF/SE para que os recursos do FUNDEB fossem mantidos no Banco do Brasil ou Caixa </w:t>
            </w:r>
            <w:bookmarkStart w:id="0" w:name="_GoBack"/>
            <w:bookmarkEnd w:id="0"/>
            <w:r>
              <w:rPr>
                <w:color w:val="000000" w:themeColor="text1"/>
                <w:sz w:val="20"/>
                <w:szCs w:val="20"/>
                <w:lang w:eastAsia="zh-CN" w:bidi="hi-IN"/>
              </w:rPr>
              <w:t>Econômica Federal (abril de 2018);</w:t>
            </w:r>
          </w:p>
          <w:p>
            <w:pPr>
              <w:pStyle w:val="Contedodetabela"/>
              <w:snapToGrid w:val="false"/>
              <w:rPr/>
            </w:pPr>
            <w:r>
              <w:rPr>
                <w:color w:val="000000" w:themeColor="text1"/>
                <w:sz w:val="20"/>
                <w:szCs w:val="20"/>
                <w:lang w:eastAsia="zh-CN" w:bidi="hi-IN"/>
              </w:rPr>
              <w:t>Proej’s tendo como noticiados o Estado de Sergipe e o Município de Aracaju/SE para averiguar o emprego da verba do Fundeb no pagamento de inativos e pensionistas;</w:t>
            </w:r>
          </w:p>
        </w:tc>
      </w:tr>
    </w:tbl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andard"/>
        <w:jc w:val="both"/>
        <w:rPr/>
      </w:pPr>
      <w:r>
        <w:rPr>
          <w:b/>
          <w:bCs/>
        </w:rPr>
        <w:t>11) PLANEJAMENTO ESTRATÉGICO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tbl>
      <w:tblPr>
        <w:tblW w:w="8760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743"/>
        <w:gridCol w:w="3016"/>
      </w:tblGrid>
      <w:tr>
        <w:trPr/>
        <w:tc>
          <w:tcPr>
            <w:tcW w:w="57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Rule"/>
              <w:suppressAutoHyphens w:val="true"/>
              <w:snapToGrid w:val="false"/>
              <w:spacing w:before="0" w:after="0"/>
              <w:ind w:left="55" w:right="-8" w:hanging="13"/>
              <w:rPr>
                <w:rFonts w:ascii="Garamond" w:hAnsi="Garamond" w:cs="Garamond"/>
                <w:b/>
                <w:b/>
                <w:sz w:val="20"/>
                <w:szCs w:val="20"/>
                <w:lang w:eastAsia="zh-C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eastAsia="zh-CN"/>
              </w:rPr>
              <w:t>11.1) Desenvolve ou apoia algum projeto ou programa de interesse social para a Comunidade?</w:t>
            </w:r>
          </w:p>
        </w:tc>
        <w:tc>
          <w:tcPr>
            <w:tcW w:w="3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6E6E6" w:val="clear"/>
            <w:tcMar>
              <w:left w:w="88" w:type="dxa"/>
            </w:tcMar>
          </w:tcPr>
          <w:p>
            <w:pPr>
              <w:pStyle w:val="Rule"/>
              <w:suppressAutoHyphens w:val="true"/>
              <w:snapToGrid w:val="false"/>
              <w:spacing w:before="0" w:after="0"/>
              <w:jc w:val="center"/>
              <w:rPr>
                <w:rFonts w:ascii="Garamond" w:hAnsi="Garamond" w:cs="Garamond"/>
                <w:b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cs="Garamond" w:ascii="Garamond" w:hAnsi="Garamond"/>
                <w:b/>
                <w:bCs/>
                <w:sz w:val="20"/>
                <w:szCs w:val="20"/>
                <w:lang w:eastAsia="zh-CN"/>
              </w:rPr>
              <w:t>(    ) Sim</w:t>
            </w:r>
          </w:p>
        </w:tc>
      </w:tr>
      <w:tr>
        <w:trPr/>
        <w:tc>
          <w:tcPr>
            <w:tcW w:w="574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Garamond" w:hAnsi="Garamond" w:eastAsia="Times New Roman" w:cs="Garamond"/>
                <w:b/>
                <w:b/>
                <w:sz w:val="20"/>
                <w:szCs w:val="20"/>
                <w:lang w:val="pt-PT" w:bidi="pt-PT"/>
              </w:rPr>
            </w:pPr>
            <w:r>
              <w:rPr>
                <w:rFonts w:eastAsia="Times New Roman" w:cs="Garamond" w:ascii="Garamond" w:hAnsi="Garamond"/>
                <w:b/>
                <w:sz w:val="20"/>
                <w:szCs w:val="20"/>
                <w:lang w:val="pt-PT" w:bidi="pt-PT"/>
              </w:rPr>
            </w:r>
          </w:p>
        </w:tc>
        <w:tc>
          <w:tcPr>
            <w:tcW w:w="3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6E6E6" w:val="clear"/>
            <w:tcMar>
              <w:left w:w="88" w:type="dxa"/>
            </w:tcMar>
          </w:tcPr>
          <w:p>
            <w:pPr>
              <w:pStyle w:val="Rule"/>
              <w:suppressAutoHyphens w:val="true"/>
              <w:snapToGrid w:val="false"/>
              <w:spacing w:before="0" w:after="0"/>
              <w:jc w:val="center"/>
              <w:rPr>
                <w:rFonts w:ascii="Garamond" w:hAnsi="Garamond" w:cs="Garamond"/>
                <w:b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cs="Garamond" w:ascii="Garamond" w:hAnsi="Garamond"/>
                <w:b/>
                <w:bCs/>
                <w:sz w:val="20"/>
                <w:szCs w:val="20"/>
                <w:lang w:eastAsia="zh-CN"/>
              </w:rPr>
              <w:t>(x) Não</w:t>
            </w:r>
          </w:p>
        </w:tc>
      </w:tr>
      <w:tr>
        <w:trPr/>
        <w:tc>
          <w:tcPr>
            <w:tcW w:w="87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8" w:type="dxa"/>
            </w:tcMar>
          </w:tcPr>
          <w:p>
            <w:pPr>
              <w:pStyle w:val="Standard"/>
              <w:snapToGrid w:val="false"/>
              <w:ind w:left="55" w:right="17" w:hanging="13"/>
              <w:rPr>
                <w:rFonts w:ascii="Garamond" w:hAnsi="Garamond" w:cs="Garamond"/>
                <w:b/>
                <w:b/>
                <w:sz w:val="20"/>
                <w:szCs w:val="20"/>
                <w:lang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eastAsia="zh-CN" w:bidi="hi-IN"/>
              </w:rPr>
              <w:t>11.2) Se desenvolver algum projeto ou programa de interesse social, citar qual(quais):</w:t>
            </w:r>
          </w:p>
        </w:tc>
      </w:tr>
      <w:tr>
        <w:trPr/>
        <w:tc>
          <w:tcPr>
            <w:tcW w:w="87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88" w:type="dxa"/>
            </w:tcMar>
          </w:tcPr>
          <w:p>
            <w:pPr>
              <w:pStyle w:val="Standard"/>
              <w:snapToGrid w:val="false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</w:r>
          </w:p>
          <w:p>
            <w:pPr>
              <w:pStyle w:val="Standard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</w:r>
          </w:p>
        </w:tc>
      </w:tr>
      <w:tr>
        <w:trPr/>
        <w:tc>
          <w:tcPr>
            <w:tcW w:w="87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8" w:type="dxa"/>
            </w:tcMar>
          </w:tcPr>
          <w:p>
            <w:pPr>
              <w:pStyle w:val="Standard"/>
              <w:snapToGrid w:val="false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  <w:t>11.3) Observações gerais/Justificativa</w:t>
            </w:r>
          </w:p>
        </w:tc>
      </w:tr>
      <w:tr>
        <w:trPr/>
        <w:tc>
          <w:tcPr>
            <w:tcW w:w="87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88" w:type="dxa"/>
            </w:tcMar>
          </w:tcPr>
          <w:p>
            <w:pPr>
              <w:pStyle w:val="Standard"/>
              <w:snapToGrid w:val="false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</w:r>
          </w:p>
          <w:p>
            <w:pPr>
              <w:pStyle w:val="Standard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</w:r>
          </w:p>
          <w:p>
            <w:pPr>
              <w:pStyle w:val="Standard"/>
              <w:rPr>
                <w:rFonts w:ascii="Garamond" w:hAnsi="Garamond" w:cs="Garamond"/>
                <w:b/>
                <w:b/>
                <w:sz w:val="20"/>
                <w:szCs w:val="20"/>
                <w:lang w:val="pt-PT" w:eastAsia="zh-CN" w:bidi="hi-IN"/>
              </w:rPr>
            </w:pPr>
            <w:r>
              <w:rPr>
                <w:rFonts w:cs="Garamond" w:ascii="Garamond" w:hAnsi="Garamond"/>
                <w:b/>
                <w:sz w:val="20"/>
                <w:szCs w:val="20"/>
                <w:lang w:val="pt-PT" w:eastAsia="zh-CN" w:bidi="hi-IN"/>
              </w:rPr>
            </w:r>
          </w:p>
        </w:tc>
      </w:tr>
    </w:tbl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12) </w:t>
      </w:r>
      <w:r>
        <w:rPr>
          <w:rFonts w:eastAsia="Times New Roman" w:cs="Times New Roman" w:ascii="Times New Roman" w:hAnsi="Times New Roman"/>
          <w:b/>
          <w:bCs/>
          <w:color w:val="00000A"/>
          <w:sz w:val="22"/>
          <w:szCs w:val="22"/>
          <w:lang w:val="pt-BR" w:eastAsia="pt-BR" w:bidi="zxx"/>
        </w:rPr>
        <w:t>REGISTRO FOTOGRÁFICO</w:t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b/>
          <w:b/>
          <w:bCs/>
          <w:color w:val="00000A"/>
          <w:sz w:val="22"/>
          <w:szCs w:val="22"/>
          <w:lang w:val="pt-BR" w:eastAsia="pt-BR" w:bidi="zxx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2"/>
          <w:szCs w:val="22"/>
          <w:lang w:val="pt-BR" w:eastAsia="pt-BR" w:bidi="zxx"/>
        </w:rPr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b/>
          <w:b/>
          <w:bCs/>
          <w:color w:val="00000A"/>
          <w:sz w:val="22"/>
          <w:szCs w:val="22"/>
          <w:lang w:val="pt-BR" w:eastAsia="pt-BR" w:bidi="zxx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2"/>
          <w:szCs w:val="22"/>
          <w:lang w:val="pt-BR" w:eastAsia="pt-BR" w:bidi="zxx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62445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uppressAutoHyphens w:val="false"/>
        <w:jc w:val="both"/>
        <w:rPr>
          <w:rFonts w:ascii="Times New Roman" w:hAnsi="Times New Roman" w:eastAsia="Times New Roman" w:cs="Times New Roman"/>
          <w:b/>
          <w:b/>
          <w:bCs/>
          <w:color w:val="00000A"/>
          <w:sz w:val="22"/>
          <w:szCs w:val="22"/>
          <w:lang w:val="pt-BR" w:eastAsia="pt-BR" w:bidi="zxx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2"/>
          <w:szCs w:val="22"/>
          <w:lang w:val="pt-BR" w:eastAsia="pt-BR" w:bidi="zxx"/>
        </w:rPr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b/>
          <w:b/>
          <w:bCs/>
          <w:color w:val="00000A"/>
          <w:sz w:val="22"/>
          <w:szCs w:val="22"/>
          <w:lang w:val="pt-BR" w:eastAsia="pt-BR" w:bidi="zxx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2"/>
          <w:szCs w:val="22"/>
          <w:lang w:val="pt-BR" w:eastAsia="pt-BR" w:bidi="zxx"/>
        </w:rPr>
        <w:t>13) CONSIDERAÇÕES FINAIS</w:t>
      </w:r>
    </w:p>
    <w:p>
      <w:pPr>
        <w:pStyle w:val="Normal"/>
        <w:jc w:val="both"/>
        <w:rPr>
          <w:rFonts w:eastAsia="Lucida Sans Unicode" w:cs="Tahoma"/>
          <w:b/>
          <w:b/>
          <w:bCs/>
          <w:color w:val="00000A"/>
          <w:sz w:val="22"/>
          <w:szCs w:val="22"/>
          <w:lang w:val="pt-BR" w:eastAsia="zxx" w:bidi="zxx"/>
        </w:rPr>
      </w:pPr>
      <w:r>
        <w:rPr>
          <w:rFonts w:eastAsia="Lucida Sans Unicode" w:cs="Tahoma"/>
          <w:b/>
          <w:bCs/>
          <w:color w:val="00000A"/>
          <w:sz w:val="22"/>
          <w:szCs w:val="22"/>
          <w:lang w:val="pt-BR" w:eastAsia="zxx" w:bidi="zxx"/>
        </w:rPr>
      </w:r>
    </w:p>
    <w:p>
      <w:pPr>
        <w:pStyle w:val="Normal"/>
        <w:bidi w:val="0"/>
        <w:spacing w:lineRule="auto" w:line="360"/>
        <w:jc w:val="both"/>
        <w:rPr>
          <w:rFonts w:eastAsia="Lucida Sans Unicode" w:cs="Tahoma"/>
          <w:b/>
          <w:b/>
          <w:bCs/>
          <w:color w:val="00000A"/>
          <w:sz w:val="22"/>
          <w:szCs w:val="22"/>
          <w:lang w:val="pt-BR" w:eastAsia="zxx" w:bidi="zxx"/>
        </w:rPr>
      </w:pPr>
      <w:r>
        <w:rPr>
          <w:rFonts w:eastAsia="Lucida Sans Unicode" w:cs="Tahoma"/>
          <w:b/>
          <w:bCs/>
          <w:color w:val="00000A"/>
          <w:sz w:val="22"/>
          <w:szCs w:val="22"/>
          <w:lang w:val="pt-BR" w:eastAsia="zxx" w:bidi="zxx"/>
        </w:rPr>
        <w:tab/>
      </w: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  <w:t>Registra-se a conduta zelosa e exemplar pela qual o Promotor de Justiça conduz suas atividades na unidade ministerial, sendo verificado que a Promotoria de Justiça estava organizada, com os serviços absolutamente atualizados, com todos os procedimentos extrajudiciais dentro do prazo de tramitação e sem que nenhum deles estivesse há mais de 90 dias sem movimentação. Também não existiam processos judiciais há mais de 30 dias com carga/vistas ao Ministério Público nem fora do prazo de tramitação.</w:t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  <w:tab/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</w:r>
    </w:p>
    <w:p>
      <w:pPr>
        <w:pStyle w:val="Normal"/>
        <w:bidi w:val="0"/>
        <w:spacing w:lineRule="auto" w:line="360"/>
        <w:jc w:val="both"/>
        <w:rPr>
          <w:rFonts w:eastAsia="Lucida Sans Unicode" w:cs="Times New Roman"/>
          <w:b w:val="false"/>
          <w:b w:val="false"/>
          <w:bCs w:val="false"/>
          <w:color w:val="00000A"/>
          <w:sz w:val="24"/>
          <w:szCs w:val="24"/>
          <w:lang w:val="pt-BR" w:eastAsia="zxx" w:bidi="ar-SA"/>
        </w:rPr>
      </w:pPr>
      <w:r>
        <w:rPr>
          <w:rFonts w:eastAsia="Lucida Sans Unicode" w:cs="Times New Roman"/>
          <w:b w:val="false"/>
          <w:bCs w:val="false"/>
          <w:color w:val="00000A"/>
          <w:sz w:val="24"/>
          <w:szCs w:val="24"/>
          <w:lang w:val="pt-BR" w:eastAsia="zxx" w:bidi="ar-SA"/>
        </w:rPr>
      </w:r>
    </w:p>
    <w:p>
      <w:pPr>
        <w:pStyle w:val="Contedodetabela"/>
        <w:widowControl w:val="false"/>
        <w:suppressAutoHyphens w:val="true"/>
        <w:bidi w:val="0"/>
        <w:spacing w:lineRule="auto" w:line="36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CONCEITO – Art. 74 da Resolução nº 005/2014 - CPJ</w:t>
      </w:r>
    </w:p>
    <w:p>
      <w:pPr>
        <w:pStyle w:val="Normal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  <w:t>1. Forma e qualidade de redação das peças processuais analisadas: ÓTIMO</w:t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  <w:t>2. Desempenho Atividade Judicial: ÓTIMO</w:t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  <w:t>3. Desempenho Atividade Extrajudicial: ÓTIMO</w:t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  <w:t>4. Desempenho Utilização dos Sistemas: ÓTIMO</w:t>
      </w:r>
    </w:p>
    <w:p>
      <w:pPr>
        <w:pStyle w:val="Normal"/>
        <w:jc w:val="both"/>
        <w:rPr>
          <w:rFonts w:cs="Tahoma"/>
          <w:color w:val="00000A"/>
          <w:sz w:val="22"/>
          <w:szCs w:val="22"/>
          <w:lang w:eastAsia="zxx" w:bidi="zxx"/>
        </w:rPr>
      </w:pPr>
      <w:r>
        <w:rPr>
          <w:rFonts w:cs="Tahoma"/>
          <w:color w:val="00000A"/>
          <w:sz w:val="22"/>
          <w:szCs w:val="22"/>
          <w:lang w:eastAsia="zxx" w:bidi="zxx"/>
        </w:rPr>
      </w:r>
    </w:p>
    <w:p>
      <w:pPr>
        <w:pStyle w:val="Normal"/>
        <w:jc w:val="both"/>
        <w:rPr>
          <w:color w:val="00000A"/>
        </w:rPr>
      </w:pPr>
      <w:r>
        <w:rPr>
          <w:color w:val="00000A"/>
        </w:rPr>
        <w:t>5. Avaliação Qualitativa: ÓTIMO</w:t>
      </w:r>
    </w:p>
    <w:p>
      <w:pPr>
        <w:pStyle w:val="Normal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spacing w:lineRule="auto" w:line="360"/>
        <w:ind w:left="0" w:right="0" w:hanging="0"/>
        <w:jc w:val="center"/>
        <w:rPr>
          <w:rFonts w:cs="Tahoma"/>
          <w:b/>
          <w:b/>
          <w:bCs/>
          <w:color w:val="00000A"/>
          <w:lang w:eastAsia="zxx" w:bidi="zxx"/>
        </w:rPr>
      </w:pPr>
      <w:r>
        <w:rPr>
          <w:rFonts w:cs="Tahoma"/>
          <w:b/>
          <w:bCs/>
          <w:color w:val="00000A"/>
          <w:lang w:eastAsia="zxx" w:bidi="zxx"/>
        </w:rPr>
      </w:r>
    </w:p>
    <w:p>
      <w:pPr>
        <w:pStyle w:val="Normal"/>
        <w:tabs>
          <w:tab w:val="left" w:pos="570" w:leader="none"/>
        </w:tabs>
        <w:bidi w:val="0"/>
        <w:spacing w:lineRule="auto" w:line="36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sz w:val="24"/>
          <w:szCs w:val="24"/>
          <w:lang w:val="pt-BR" w:eastAsia="pt-BR" w:bidi="zxx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lang w:val="pt-BR" w:eastAsia="pt-BR" w:bidi="zxx"/>
        </w:rPr>
        <w:t>CONCEITO GERAL: ÓTIMO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 w:eastAsia="Lucida Sans Unicode" w:cs="Tahoma"/>
          <w:b w:val="false"/>
          <w:b w:val="false"/>
          <w:bCs w:val="false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ahoma" w:ascii="Times New Roman" w:hAnsi="Times New Roman"/>
          <w:b w:val="false"/>
          <w:bCs w:val="false"/>
          <w:color w:val="00000A"/>
          <w:sz w:val="24"/>
          <w:szCs w:val="24"/>
          <w:lang w:val="pt-BR" w:eastAsia="zxx" w:bidi="zxx"/>
        </w:rPr>
        <w:tab/>
      </w:r>
    </w:p>
    <w:p>
      <w:pPr>
        <w:pStyle w:val="Normal"/>
        <w:widowControl w:val="false"/>
        <w:tabs>
          <w:tab w:val="left" w:pos="1680" w:leader="none"/>
        </w:tabs>
        <w:suppressAutoHyphens w:val="true"/>
        <w:overflowPunct w:val="false"/>
        <w:bidi w:val="0"/>
        <w:spacing w:lineRule="auto" w:line="360"/>
        <w:ind w:left="0" w:right="0" w:firstLine="737"/>
        <w:jc w:val="both"/>
        <w:rPr/>
      </w:pPr>
      <w:r>
        <w:rPr/>
        <w:t xml:space="preserve">Pelo exposto, determino o encaminhamento de cópia deste relatório para conhecimento do(a) Promotor(a) de Justiça interessado(a), para, querendo, manifestar-se sobre seu teor, no prazo de 10 (dez) dias, e, após, será encaminhado, para conhecimento, ao Egrégio Conselho Superior do Ministério Público, </w:t>
      </w:r>
      <w:r>
        <w:rPr>
          <w:lang w:bidi="zxx"/>
        </w:rPr>
        <w:t>nos termos do art. 126 da Lei Complementar Estadual 02/90, do art. 5º, § 2º, da Resolução nº. 149 – CNMP, arts. 10, XI e 85 do Regimento Interno do Conselho Superior do Ministério Público de Sergipe, e art. 64 do Regimento Interno da Corregedoria-Geral.</w:t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/>
      </w:r>
    </w:p>
    <w:p>
      <w:pPr>
        <w:pStyle w:val="Normal"/>
        <w:tabs>
          <w:tab w:val="left" w:pos="1680" w:leader="none"/>
        </w:tabs>
        <w:bidi w:val="0"/>
        <w:spacing w:lineRule="auto" w:line="360"/>
        <w:ind w:left="0" w:right="0" w:firstLine="1701"/>
        <w:jc w:val="both"/>
        <w:rPr>
          <w:rFonts w:eastAsia="Lucida Sans Unicode" w:cs="Tahoma"/>
          <w:b w:val="false"/>
          <w:b w:val="false"/>
          <w:bCs w:val="false"/>
          <w:color w:val="00000A"/>
          <w:sz w:val="24"/>
          <w:szCs w:val="24"/>
          <w:lang w:val="pt-BR" w:eastAsia="zxx" w:bidi="zxx"/>
        </w:rPr>
      </w:pPr>
      <w:r>
        <w:rPr>
          <w:rFonts w:eastAsia="Lucida Sans Unicode" w:cs="Tahoma"/>
          <w:b w:val="false"/>
          <w:bCs w:val="false"/>
          <w:color w:val="00000A"/>
          <w:sz w:val="24"/>
          <w:szCs w:val="24"/>
          <w:lang w:val="pt-BR" w:eastAsia="zxx" w:bidi="zxx"/>
        </w:rPr>
        <w:t>Ressalta-se, por fim, que os trabalhos correcionais verificam a situação da unidade ministerial num determinado momento, e que, mesmo após a Correição, os Promotores de Justiça devem manter os serviços da Promotoria em dia e organizados.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Aracaju, 29 de maio de 2019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tLeast" w:line="200" w:before="0" w:after="0"/>
        <w:jc w:val="center"/>
        <w:rPr>
          <w:rFonts w:ascii="Times New Roman" w:hAnsi="Times New Roman" w:cs="Arial"/>
          <w:b/>
          <w:b/>
          <w:bCs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  <w:t>Moacyr Soares da Motta</w:t>
      </w:r>
    </w:p>
    <w:p>
      <w:pPr>
        <w:pStyle w:val="Normal"/>
        <w:spacing w:lineRule="atLeast" w:line="200" w:before="0" w:after="0"/>
        <w:jc w:val="center"/>
        <w:rPr>
          <w:rFonts w:ascii="Times New Roman" w:hAnsi="Times New Roman" w:cs="Arial"/>
          <w:b/>
          <w:b/>
          <w:bCs/>
          <w:sz w:val="24"/>
          <w:szCs w:val="24"/>
        </w:rPr>
      </w:pPr>
      <w:r>
        <w:rPr>
          <w:rFonts w:cs="Arial" w:ascii="Times New Roman" w:hAnsi="Times New Roman"/>
          <w:b/>
          <w:bCs/>
          <w:sz w:val="24"/>
          <w:szCs w:val="24"/>
        </w:rPr>
        <w:t>Corregedor Geral do Ministério Público em exercício</w:t>
      </w:r>
    </w:p>
    <w:p>
      <w:pPr>
        <w:pStyle w:val="Normal"/>
        <w:bidi w:val="0"/>
        <w:spacing w:lineRule="auto" w:line="360"/>
        <w:jc w:val="center"/>
        <w:rPr/>
      </w:pPr>
      <w:r>
        <w:rPr/>
      </w:r>
    </w:p>
    <w:sectPr>
      <w:footerReference w:type="default" r:id="rId5"/>
      <w:footnotePr>
        <w:numFmt w:val="decimal"/>
      </w:footnotePr>
      <w:type w:val="nextPage"/>
      <w:pgSz w:w="11906" w:h="16838"/>
      <w:pgMar w:left="1701" w:right="1701" w:header="0" w:top="1417" w:footer="1417" w:bottom="197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entury Gothic">
    <w:charset w:val="00"/>
    <w:family w:val="roman"/>
    <w:pitch w:val="variable"/>
  </w:font>
  <w:font w:name="Garamon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14</w:t>
    </w:r>
    <w: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jc w:val="both"/>
        <w:rPr/>
      </w:pPr>
      <w:r>
        <w:rPr>
          <w:rStyle w:val="Caracteresdenotaderodap"/>
        </w:rPr>
        <w:footnoteRef/>
        <w:tab/>
      </w:r>
      <w:r>
        <w:rPr/>
        <w:t>Abster-se de utilizar os termos “oposição ou resistência à ação policial” e usar a expressão “lesão corporal ou homicídio decorrente de intervenção policial”.</w:t>
      </w:r>
    </w:p>
  </w:footnote>
  <w:footnote w:id="3">
    <w:p>
      <w:pPr>
        <w:pStyle w:val="Footnote"/>
        <w:jc w:val="both"/>
        <w:rPr/>
      </w:pPr>
      <w:r>
        <w:rPr>
          <w:rStyle w:val="Caracteresdenotaderodap"/>
        </w:rPr>
        <w:footnoteRef/>
        <w:tab/>
      </w:r>
      <w:r>
        <w:rPr/>
        <w:t>Realização de palestras em escolas, associações, Ong's, clubes, etc.</w:t>
      </w:r>
    </w:p>
  </w:footnote>
  <w:footnote w:id="4">
    <w:p>
      <w:pPr>
        <w:pStyle w:val="Footnote"/>
        <w:jc w:val="both"/>
        <w:rPr/>
      </w:pPr>
      <w:r>
        <w:rPr>
          <w:rStyle w:val="Caracteresdenotaderodap"/>
        </w:rPr>
        <w:footnoteRef/>
        <w:tab/>
      </w:r>
      <w:r>
        <w:rPr/>
        <w:t>Espaço dialógico da Democracia. Ouvir a comunidade, colher propostas e prestar contas de seu trabalho.</w:t>
      </w:r>
    </w:p>
  </w:footnote>
  <w:footnote w:id="5">
    <w:p>
      <w:pPr>
        <w:pStyle w:val="Footnote"/>
        <w:jc w:val="both"/>
        <w:rPr/>
      </w:pPr>
      <w:r>
        <w:rPr>
          <w:rStyle w:val="Caracteresdenotaderodap"/>
        </w:rPr>
        <w:footnoteRef/>
        <w:tab/>
      </w:r>
      <w:r>
        <w:rPr/>
        <w:t>Exercício da função extrajudicial de modo interdisciplinar, ou seja, dialogando com os demais ramos do conhecimento científico e se utiliza, em procedimentos judiciais e extrajudiciais, indicadores sociais como prova.</w:t>
      </w:r>
    </w:p>
  </w:footnote>
  <w:footnote w:id="6">
    <w:p>
      <w:pPr>
        <w:pStyle w:val="Footnote"/>
        <w:jc w:val="both"/>
        <w:rPr/>
      </w:pPr>
      <w:r>
        <w:rPr>
          <w:rStyle w:val="Caracteresdenotaderodap"/>
        </w:rPr>
        <w:footnoteRef/>
        <w:tab/>
      </w:r>
      <w:r>
        <w:rPr/>
        <w:t>Uso de recomendação dirigida ao Poder Executivo e ao Poder Legislativo, com o objetivo de provocar o controle preventivo de constitucionalidade e de representação dirigida ao Procurador Geral de Justiça ou ao Procurador Geral da República, com o intuito de promover o controle concentrado de constitucionalidade.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lvl w:ilvl="0">
      <w:start w:val="2"/>
      <w:numFmt w:val="decimal"/>
      <w:lvlText w:val="%1)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1146" w:hanging="360"/>
      </w:pPr>
    </w:lvl>
    <w:lvl w:ilvl="2">
      <w:start w:val="1"/>
      <w:numFmt w:val="decimal"/>
      <w:lvlText w:val="%3."/>
      <w:lvlJc w:val="left"/>
      <w:pPr>
        <w:ind w:left="1506" w:hanging="360"/>
      </w:pPr>
    </w:lvl>
    <w:lvl w:ilvl="3">
      <w:start w:val="1"/>
      <w:numFmt w:val="decimal"/>
      <w:lvlText w:val="%4."/>
      <w:lvlJc w:val="left"/>
      <w:pPr>
        <w:ind w:left="1866" w:hanging="360"/>
      </w:pPr>
    </w:lvl>
    <w:lvl w:ilvl="4">
      <w:start w:val="1"/>
      <w:numFmt w:val="decimal"/>
      <w:lvlText w:val="%5."/>
      <w:lvlJc w:val="left"/>
      <w:pPr>
        <w:ind w:left="2226" w:hanging="360"/>
      </w:pPr>
    </w:lvl>
    <w:lvl w:ilvl="5">
      <w:start w:val="1"/>
      <w:numFmt w:val="decimal"/>
      <w:lvlText w:val="%6.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decimal"/>
      <w:lvlText w:val="%8."/>
      <w:lvlJc w:val="left"/>
      <w:pPr>
        <w:ind w:left="3306" w:hanging="360"/>
      </w:pPr>
    </w:lvl>
    <w:lvl w:ilvl="8">
      <w:start w:val="1"/>
      <w:numFmt w:val="decimal"/>
      <w:lvlText w:val="%9."/>
      <w:lvlJc w:val="left"/>
      <w:pPr>
        <w:ind w:left="3666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780"/>
    <w:pPr>
      <w:widowControl w:val="false"/>
      <w:suppressAutoHyphens w:val="true"/>
      <w:bidi w:val="0"/>
      <w:jc w:val="left"/>
    </w:pPr>
    <w:rPr>
      <w:rFonts w:ascii="Liberation Serif" w:hAnsi="Liberation Serif" w:eastAsia="SimSun" w:cs="Lucida Sans"/>
      <w:color w:val="00000A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coradanotaderodap" w:customStyle="1">
    <w:name w:val="Âncora da nota de rodapé"/>
    <w:rsid w:val="00f40780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f40780"/>
    <w:rPr>
      <w:vertAlign w:val="superscript"/>
    </w:rPr>
  </w:style>
  <w:style w:type="character" w:styleId="Ncoradenotaderodap" w:customStyle="1">
    <w:name w:val="Âncora de nota de rodapé"/>
    <w:qFormat/>
    <w:rsid w:val="00f40780"/>
    <w:rPr>
      <w:vertAlign w:val="superscript"/>
    </w:rPr>
  </w:style>
  <w:style w:type="character" w:styleId="Caracteresdenotaderodap" w:customStyle="1">
    <w:name w:val="Caracteres de nota de rodapé"/>
    <w:qFormat/>
    <w:rPr/>
  </w:style>
  <w:style w:type="character" w:styleId="Ncoradanotadefim" w:customStyle="1">
    <w:name w:val="Âncora da nota de fim"/>
    <w:rPr>
      <w:vertAlign w:val="superscript"/>
    </w:rPr>
  </w:style>
  <w:style w:type="character" w:styleId="Caracteresdenotadefim" w:customStyle="1">
    <w:name w:val="Caracteres de nota de fim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f40780"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Times New Roman"/>
      <w:color w:val="00000A"/>
      <w:sz w:val="24"/>
      <w:szCs w:val="24"/>
      <w:lang w:val="pt-BR" w:eastAsia="pt-BR" w:bidi="ar-SA"/>
    </w:rPr>
  </w:style>
  <w:style w:type="paragraph" w:styleId="Contedodetabela" w:customStyle="1">
    <w:name w:val="Conteúdo de tabela"/>
    <w:basedOn w:val="Standard"/>
    <w:qFormat/>
    <w:rsid w:val="00f40780"/>
    <w:pPr>
      <w:suppressLineNumbers/>
    </w:pPr>
    <w:rPr/>
  </w:style>
  <w:style w:type="paragraph" w:styleId="Contedodatabela" w:customStyle="1">
    <w:name w:val="Conteúdo da tabela"/>
    <w:basedOn w:val="Standard"/>
    <w:qFormat/>
    <w:rsid w:val="00f40780"/>
    <w:pPr>
      <w:suppressLineNumbers/>
    </w:pPr>
    <w:rPr/>
  </w:style>
  <w:style w:type="paragraph" w:styleId="Rule" w:customStyle="1">
    <w:name w:val="Rule"/>
    <w:basedOn w:val="Standard"/>
    <w:qFormat/>
    <w:rsid w:val="00f40780"/>
    <w:pPr>
      <w:widowControl/>
      <w:pBdr>
        <w:bottom w:val="single" w:sz="4" w:space="1" w:color="808080"/>
      </w:pBdr>
      <w:suppressAutoHyphens w:val="false"/>
      <w:spacing w:before="0" w:after="240"/>
    </w:pPr>
    <w:rPr>
      <w:rFonts w:ascii="Century Gothic" w:hAnsi="Century Gothic" w:eastAsia="Times New Roman" w:cs="Century Gothic"/>
      <w:sz w:val="16"/>
      <w:szCs w:val="16"/>
      <w:lang w:val="pt-PT" w:bidi="pt-PT"/>
    </w:rPr>
  </w:style>
  <w:style w:type="paragraph" w:styleId="Footnote" w:customStyle="1">
    <w:name w:val="Footnote"/>
    <w:basedOn w:val="Standard"/>
    <w:qFormat/>
    <w:rsid w:val="00f40780"/>
    <w:pPr>
      <w:suppressLineNumbers/>
      <w:ind w:left="283" w:hanging="283"/>
    </w:pPr>
    <w:rPr>
      <w:sz w:val="20"/>
      <w:szCs w:val="20"/>
    </w:rPr>
  </w:style>
  <w:style w:type="paragraph" w:styleId="Notaderodap">
    <w:name w:val="Footnote Text"/>
    <w:basedOn w:val="Normal"/>
    <w:pPr/>
    <w:rPr/>
  </w:style>
  <w:style w:type="paragraph" w:styleId="Ttulodetabela">
    <w:name w:val="Título de tabela"/>
    <w:basedOn w:val="Contedodatabela"/>
    <w:qFormat/>
    <w:pPr/>
    <w:rPr/>
  </w:style>
  <w:style w:type="paragraph" w:styleId="Rodap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40780"/>
  </w:style>
  <w:style w:type="numbering" w:styleId="WW8Num2" w:customStyle="1">
    <w:name w:val="WW8Num2"/>
    <w:qFormat/>
    <w:rsid w:val="00f40780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image" Target="media/image2.jpeg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Application>LibreOffice/5.2.4.2$Windows_x86 LibreOffice_project/3d5603e1122f0f102b62521720ab13a38a4e0eb0</Application>
  <Pages>14</Pages>
  <Words>3341</Words>
  <Characters>18184</Characters>
  <CharactersWithSpaces>21851</CharactersWithSpaces>
  <Paragraphs>499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2019-05-06T02:23:00Z</dcterms:created>
  <dc:creator>Cláudio Roberto</dc:creator>
  <dc:description/>
  <dc:language>pt-BR</dc:language>
  <cp:lastModifiedBy/>
  <cp:lastPrinted>2019-05-07T11:05:12Z</cp:lastPrinted>
  <dcterms:modified xsi:type="dcterms:W3CDTF">2019-08-22T11:20:48Z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