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jpeg" ContentType="image/jpeg"/>
  <Override PartName="/word/media/image3.jpeg" ContentType="image/jpeg"/>
  <Override PartName="/word/media/image4.jpeg" ContentType="image/jpeg"/>
  <Override PartName="/word/theme/theme1.xml" ContentType="application/vnd.openxmlformats-officedocument.theme+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b/>
          <w:b/>
          <w:bCs/>
          <w:color w:val="000000"/>
          <w:sz w:val="20"/>
          <w:szCs w:val="20"/>
          <w:u w:val="none" w:color="000000"/>
        </w:rPr>
      </w:pPr>
      <w:r>
        <w:rPr/>
        <mc:AlternateContent>
          <mc:Choice Requires="wpg">
            <w:drawing>
              <wp:inline distT="0" distB="0" distL="0" distR="0">
                <wp:extent cx="821055" cy="851535"/>
                <wp:effectExtent l="0" t="0" r="0" b="0"/>
                <wp:docPr id="1" name=""/>
                <a:graphic xmlns:a="http://schemas.openxmlformats.org/drawingml/2006/main">
                  <a:graphicData uri="http://schemas.microsoft.com/office/word/2010/wordprocessingGroup">
                    <wpg:wgp>
                      <wpg:cNvGrpSpPr/>
                      <wpg:grpSpPr>
                        <a:xfrm>
                          <a:off x="0" y="0"/>
                          <a:ext cx="820440" cy="851040"/>
                        </a:xfrm>
                      </wpg:grpSpPr>
                      <wps:wsp>
                        <wps:cNvSpPr/>
                        <wps:spPr>
                          <a:xfrm>
                            <a:off x="0" y="0"/>
                            <a:ext cx="820440" cy="851040"/>
                          </a:xfrm>
                          <a:prstGeom prst="rect">
                            <a:avLst/>
                          </a:prstGeom>
                          <a:solidFill>
                            <a:srgbClr val="ffffff"/>
                          </a:solidFill>
                          <a:ln w="12600">
                            <a:noFill/>
                          </a:ln>
                        </wps:spPr>
                        <wps:style>
                          <a:lnRef idx="0"/>
                          <a:fillRef idx="0"/>
                          <a:effectRef idx="0"/>
                          <a:fontRef idx="minor"/>
                        </wps:style>
                        <wps:bodyPr/>
                      </wps:wsp>
                      <pic:pic xmlns:pic="http://schemas.openxmlformats.org/drawingml/2006/picture">
                        <pic:nvPicPr>
                          <pic:cNvPr id="0" name="image.pdf" descr=""/>
                          <pic:cNvPicPr/>
                        </pic:nvPicPr>
                        <pic:blipFill>
                          <a:blip r:embed="rId2"/>
                          <a:stretch/>
                        </pic:blipFill>
                        <pic:spPr>
                          <a:xfrm>
                            <a:off x="0" y="0"/>
                            <a:ext cx="820440" cy="851040"/>
                          </a:xfrm>
                          <a:prstGeom prst="rect">
                            <a:avLst/>
                          </a:prstGeom>
                          <a:ln w="12600">
                            <a:noFill/>
                          </a:ln>
                        </pic:spPr>
                      </pic:pic>
                    </wpg:wgp>
                  </a:graphicData>
                </a:graphic>
              </wp:inline>
            </w:drawing>
          </mc:Choice>
          <mc:Fallback>
            <w:pict>
              <v:group id="shape_0" style="position:absolute;margin-left:0pt;margin-top:0pt;width:64.6pt;height:67pt" coordorigin="0,0" coordsize="1292,1340">
                <v:rect id="shape_0" fillcolor="white" stroked="f" style="position:absolute;left:0;top:0;width:1291;height:1339">
                  <w10:wrap type="none"/>
                  <v:fill o:detectmouseclick="t" type="solid" color2="black"/>
                  <v:stroke color="#3465a4" weight="12600" joinstyle="round" endcap="flat"/>
                </v:rect>
                <v:rect id="shape_0" ID="image.pdf" stroked="f" style="position:absolute;left:0;top:0;width:1291;height:1339">
                  <v:imagedata r:id="rId2" o:detectmouseclick="t"/>
                  <w10:wrap type="none"/>
                  <v:stroke color="#3465a4" weight="12600" joinstyle="round" endcap="flat"/>
                </v:rect>
              </v:group>
            </w:pict>
          </mc:Fallback>
        </mc:AlternateContent>
      </w:r>
    </w:p>
    <w:p>
      <w:pPr>
        <w:pStyle w:val="Normal"/>
        <w:jc w:val="center"/>
        <w:rPr/>
      </w:pPr>
      <w:r>
        <w:rPr>
          <w:b/>
          <w:bCs/>
          <w:color w:val="000000"/>
          <w:sz w:val="20"/>
          <w:szCs w:val="20"/>
          <w:u w:val="none" w:color="000000"/>
          <w:lang w:val="pt-PT"/>
        </w:rPr>
        <w:t>MINISTÉRIO PÚBLICO DO ESTADO DE SERGIPE</w:t>
      </w:r>
    </w:p>
    <w:p>
      <w:pPr>
        <w:pStyle w:val="Normal"/>
        <w:jc w:val="center"/>
        <w:rPr/>
      </w:pPr>
      <w:r>
        <w:rPr>
          <w:b/>
          <w:bCs/>
          <w:color w:val="000000"/>
          <w:sz w:val="20"/>
          <w:szCs w:val="20"/>
          <w:u w:val="none" w:color="000000"/>
          <w:lang w:val="pt-PT"/>
        </w:rPr>
        <w:t>CORREGEDORIA GERAL</w:t>
      </w:r>
    </w:p>
    <w:p>
      <w:pPr>
        <w:pStyle w:val="Normal"/>
        <w:jc w:val="center"/>
        <w:rPr>
          <w:b/>
          <w:b/>
          <w:bCs/>
          <w:color w:val="000000"/>
          <w:sz w:val="20"/>
          <w:szCs w:val="20"/>
          <w:u w:val="none" w:color="000000"/>
        </w:rPr>
      </w:pPr>
      <w:r>
        <w:rPr>
          <w:b/>
          <w:bCs/>
          <w:color w:val="000000"/>
          <w:sz w:val="20"/>
          <w:szCs w:val="20"/>
          <w:u w:val="none" w:color="000000"/>
        </w:rPr>
      </w:r>
    </w:p>
    <w:p>
      <w:pPr>
        <w:pStyle w:val="Normal"/>
        <w:jc w:val="center"/>
        <w:rPr>
          <w:b/>
          <w:b/>
          <w:bCs/>
          <w:color w:val="000000"/>
          <w:sz w:val="20"/>
          <w:szCs w:val="20"/>
          <w:u w:val="none" w:color="000000"/>
        </w:rPr>
      </w:pPr>
      <w:r>
        <w:rPr>
          <w:b/>
          <w:bCs/>
          <w:color w:val="000000"/>
          <w:sz w:val="20"/>
          <w:szCs w:val="20"/>
          <w:u w:val="none" w:color="000000"/>
        </w:rPr>
      </w:r>
    </w:p>
    <w:p>
      <w:pPr>
        <w:pStyle w:val="Normal"/>
        <w:jc w:val="center"/>
        <w:rPr/>
      </w:pPr>
      <w:r>
        <w:rPr>
          <w:rFonts w:eastAsia="Lucida Sans Unicode" w:cs="Times New Roman"/>
          <w:b/>
          <w:bCs/>
          <w:color w:val="00000A"/>
          <w:sz w:val="20"/>
          <w:szCs w:val="20"/>
          <w:u w:val="none" w:color="000000"/>
          <w:lang w:val="pt-BR" w:eastAsia="zxx" w:bidi="ar-SA"/>
        </w:rPr>
        <w:t>RELATÓRIO DE CORREIÇÃO ORDINÁRIA Nº 50</w:t>
      </w:r>
      <w:r>
        <w:rPr>
          <w:b/>
          <w:bCs/>
          <w:color w:val="000000"/>
          <w:sz w:val="20"/>
          <w:szCs w:val="20"/>
          <w:u w:val="none" w:color="000000"/>
          <w:lang w:val="pt-PT"/>
        </w:rPr>
        <w:t>/2019</w:t>
      </w:r>
    </w:p>
    <w:p>
      <w:pPr>
        <w:pStyle w:val="Normal"/>
        <w:jc w:val="center"/>
        <w:rPr>
          <w:b/>
          <w:b/>
          <w:bCs/>
          <w:color w:val="000000"/>
          <w:sz w:val="20"/>
          <w:szCs w:val="20"/>
          <w:u w:val="none" w:color="000000"/>
        </w:rPr>
      </w:pPr>
      <w:r>
        <w:rPr>
          <w:b/>
          <w:bCs/>
          <w:color w:val="000000"/>
          <w:sz w:val="20"/>
          <w:szCs w:val="20"/>
          <w:u w:val="none" w:color="000000"/>
        </w:rPr>
      </w:r>
    </w:p>
    <w:p>
      <w:pPr>
        <w:pStyle w:val="Normal"/>
        <w:jc w:val="center"/>
        <w:rPr>
          <w:b/>
          <w:b/>
          <w:bCs/>
          <w:color w:val="000000"/>
          <w:sz w:val="20"/>
          <w:szCs w:val="20"/>
          <w:u w:val="none" w:color="000000"/>
        </w:rPr>
      </w:pPr>
      <w:r>
        <w:rPr>
          <w:b/>
          <w:bCs/>
          <w:color w:val="000000"/>
          <w:sz w:val="20"/>
          <w:szCs w:val="20"/>
          <w:u w:val="none" w:color="000000"/>
        </w:rPr>
      </w:r>
    </w:p>
    <w:p>
      <w:pPr>
        <w:pStyle w:val="Normal"/>
        <w:spacing w:lineRule="auto" w:line="360"/>
        <w:jc w:val="both"/>
        <w:rPr/>
      </w:pPr>
      <w:r>
        <w:rPr>
          <w:color w:val="000000"/>
          <w:sz w:val="20"/>
          <w:szCs w:val="20"/>
          <w:u w:val="none" w:color="000000"/>
          <w:lang w:val="pt-PT"/>
        </w:rPr>
        <w:t>DATA DA VISITA:</w:t>
      </w:r>
      <w:r>
        <w:rPr>
          <w:b/>
          <w:bCs/>
          <w:color w:val="000000"/>
          <w:sz w:val="20"/>
          <w:szCs w:val="20"/>
          <w:u w:val="none" w:color="000000"/>
          <w:lang w:val="pt-PT"/>
        </w:rPr>
        <w:t xml:space="preserve"> 07/10/2019</w:t>
      </w:r>
    </w:p>
    <w:p>
      <w:pPr>
        <w:pStyle w:val="Normal"/>
        <w:spacing w:lineRule="auto" w:line="360"/>
        <w:jc w:val="both"/>
        <w:rPr/>
      </w:pPr>
      <w:r>
        <w:rPr>
          <w:color w:val="000000"/>
          <w:sz w:val="20"/>
          <w:szCs w:val="20"/>
          <w:u w:val="none" w:color="000000"/>
          <w:lang w:val="pt-PT"/>
        </w:rPr>
        <w:t>CENTRO DE APOIO OPERACIONAL/UNIDADE: CAOp Direitos Humanos</w:t>
      </w:r>
    </w:p>
    <w:p>
      <w:pPr>
        <w:pStyle w:val="Normal"/>
        <w:spacing w:lineRule="auto" w:line="360"/>
        <w:jc w:val="both"/>
        <w:rPr/>
      </w:pPr>
      <w:r>
        <w:rPr>
          <w:color w:val="000000"/>
          <w:sz w:val="20"/>
          <w:szCs w:val="20"/>
          <w:u w:val="none" w:color="000000"/>
          <w:lang w:val="pt-PT"/>
        </w:rPr>
        <w:t>PROMOTOR DE JUSTIÇA DIRETOR:</w:t>
      </w:r>
      <w:r>
        <w:rPr>
          <w:b/>
          <w:bCs/>
          <w:color w:val="000000"/>
          <w:sz w:val="20"/>
          <w:szCs w:val="20"/>
          <w:u w:val="none" w:color="000000"/>
          <w:lang w:val="pt-PT"/>
        </w:rPr>
        <w:t xml:space="preserve">  Francisco Ferreira de Lima Júnior</w:t>
      </w:r>
    </w:p>
    <w:p>
      <w:pPr>
        <w:pStyle w:val="Normal"/>
        <w:spacing w:lineRule="auto" w:line="360"/>
        <w:jc w:val="both"/>
        <w:rPr>
          <w:b/>
          <w:b/>
          <w:bCs/>
          <w:color w:val="000000"/>
          <w:sz w:val="20"/>
          <w:szCs w:val="20"/>
          <w:u w:val="none" w:color="000000"/>
        </w:rPr>
      </w:pPr>
      <w:r>
        <w:rPr>
          <w:b/>
          <w:bCs/>
          <w:color w:val="000000"/>
          <w:sz w:val="20"/>
          <w:szCs w:val="20"/>
          <w:u w:val="none" w:color="000000"/>
        </w:rPr>
      </w:r>
    </w:p>
    <w:p>
      <w:pPr>
        <w:pStyle w:val="Normal"/>
        <w:numPr>
          <w:ilvl w:val="0"/>
          <w:numId w:val="1"/>
        </w:numPr>
        <w:jc w:val="both"/>
        <w:rPr>
          <w:lang w:val="pt-PT"/>
        </w:rPr>
      </w:pPr>
      <w:r>
        <w:rPr>
          <w:b/>
          <w:bCs/>
          <w:color w:val="000000"/>
          <w:u w:val="none" w:color="000000"/>
          <w:lang w:val="pt-PT"/>
        </w:rPr>
        <w:t>DADOS PESSOAIS E FUNCIONAIS</w:t>
      </w:r>
    </w:p>
    <w:p>
      <w:pPr>
        <w:pStyle w:val="Normal"/>
        <w:jc w:val="both"/>
        <w:rPr>
          <w:b/>
          <w:b/>
          <w:bCs/>
          <w:color w:val="000000"/>
          <w:u w:val="none" w:color="000000"/>
        </w:rPr>
      </w:pPr>
      <w:r>
        <w:rPr>
          <w:b/>
          <w:bCs/>
          <w:color w:val="000000"/>
          <w:u w:val="none" w:color="000000"/>
        </w:rPr>
      </w:r>
    </w:p>
    <w:tbl>
      <w:tblPr>
        <w:tblW w:w="8516" w:type="dxa"/>
        <w:jc w:val="left"/>
        <w:tblInd w:w="14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80" w:type="dxa"/>
          <w:left w:w="78" w:type="dxa"/>
          <w:bottom w:w="80" w:type="dxa"/>
          <w:right w:w="80" w:type="dxa"/>
        </w:tblCellMar>
      </w:tblPr>
      <w:tblGrid>
        <w:gridCol w:w="2610"/>
        <w:gridCol w:w="5905"/>
      </w:tblGrid>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1.1 Data do vitaliciamento na carreira</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keepNext/>
              <w:keepLines w:val="false"/>
              <w:widowControl w:val="false"/>
              <w:shd w:val="clear" w:color="auto" w:fill="auto"/>
              <w:suppressAutoHyphens w:val="true"/>
              <w:bidi w:val="0"/>
              <w:spacing w:lineRule="auto" w:line="240" w:before="0" w:after="0"/>
              <w:ind w:left="0" w:right="0" w:hanging="0"/>
              <w:jc w:val="center"/>
              <w:rPr/>
            </w:pPr>
            <w:r>
              <w:rPr>
                <w:rFonts w:eastAsia="Cambria" w:cs="Cambria"/>
                <w:b w:val="false"/>
                <w:bCs w:val="false"/>
                <w:i w:val="false"/>
                <w:iCs w:val="false"/>
                <w:caps w:val="false"/>
                <w:smallCaps w:val="false"/>
                <w:strike w:val="false"/>
                <w:dstrike w:val="false"/>
                <w:outline w:val="false"/>
                <w:color w:val="000000"/>
                <w:spacing w:val="0"/>
                <w:position w:val="0"/>
                <w:sz w:val="20"/>
                <w:sz w:val="20"/>
                <w:szCs w:val="20"/>
                <w:u w:val="none" w:color="000000"/>
                <w:vertAlign w:val="baseline"/>
              </w:rPr>
              <w:t>06/02/2014</w:t>
            </w:r>
          </w:p>
        </w:tc>
      </w:tr>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1.2 Data de designação no Centro de Apoio/unidade</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keepNext/>
              <w:keepLines w:val="false"/>
              <w:widowControl w:val="false"/>
              <w:shd w:val="clear" w:color="auto" w:fill="auto"/>
              <w:suppressAutoHyphens w:val="true"/>
              <w:bidi w:val="0"/>
              <w:spacing w:lineRule="auto" w:line="240" w:before="0" w:after="0"/>
              <w:ind w:left="0" w:right="0" w:hanging="0"/>
              <w:jc w:val="center"/>
              <w:rPr/>
            </w:pPr>
            <w:r>
              <w:rPr>
                <w:rFonts w:eastAsia="Cambria" w:cs="Cambria"/>
                <w:b w:val="false"/>
                <w:bCs w:val="false"/>
                <w:i w:val="false"/>
                <w:iCs w:val="false"/>
                <w:caps w:val="false"/>
                <w:smallCaps w:val="false"/>
                <w:strike w:val="false"/>
                <w:dstrike w:val="false"/>
                <w:outline w:val="false"/>
                <w:color w:val="000000"/>
                <w:spacing w:val="0"/>
                <w:position w:val="0"/>
                <w:sz w:val="20"/>
                <w:sz w:val="20"/>
                <w:szCs w:val="20"/>
                <w:u w:val="none" w:color="000000"/>
                <w:vertAlign w:val="baseline"/>
              </w:rPr>
              <w:t>10/06/2019</w:t>
            </w:r>
          </w:p>
        </w:tc>
      </w:tr>
      <w:tr>
        <w:trPr>
          <w:trHeight w:val="21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1.3 Atribuições</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rPr/>
            </w:pPr>
            <w:r>
              <w:rPr/>
            </w:r>
          </w:p>
        </w:tc>
      </w:tr>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1.4 Exerce atribuições como Promotor Eleitoral</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Sim (   )         </w:t>
            </w:r>
          </w:p>
          <w:p>
            <w:pPr>
              <w:pStyle w:val="Contedodetabela"/>
              <w:rPr/>
            </w:pPr>
            <w:r>
              <w:rPr>
                <w:sz w:val="20"/>
                <w:szCs w:val="20"/>
                <w:lang w:val="pt-PT"/>
              </w:rPr>
              <w:t xml:space="preserve">Não ( </w:t>
            </w:r>
            <w:r>
              <w:rPr>
                <w:sz w:val="20"/>
                <w:szCs w:val="20"/>
                <w:lang w:val="en-US"/>
              </w:rPr>
              <w:t>x</w:t>
            </w:r>
            <w:r>
              <w:rPr>
                <w:sz w:val="20"/>
                <w:szCs w:val="20"/>
                <w:lang w:val="pt-PT"/>
              </w:rPr>
              <w:t xml:space="preserve">  )</w:t>
            </w:r>
          </w:p>
        </w:tc>
      </w:tr>
      <w:tr>
        <w:trPr>
          <w:trHeight w:val="197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 xml:space="preserve">1.5 Designado(a) para cumular suas atribuições em outra unidade do MP, nos últimos seis meses </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Sim ( </w:t>
            </w:r>
            <w:r>
              <w:rPr>
                <w:sz w:val="20"/>
                <w:szCs w:val="20"/>
                <w:lang w:val="en-US"/>
              </w:rPr>
              <w:t>x</w:t>
            </w:r>
            <w:r>
              <w:rPr>
                <w:sz w:val="20"/>
                <w:szCs w:val="20"/>
                <w:lang w:val="pt-PT"/>
              </w:rPr>
              <w:t xml:space="preserve">  )         </w:t>
            </w:r>
          </w:p>
          <w:p>
            <w:pPr>
              <w:pStyle w:val="Contedodetabela"/>
              <w:rPr/>
            </w:pPr>
            <w:r>
              <w:rPr>
                <w:sz w:val="20"/>
                <w:szCs w:val="20"/>
                <w:lang w:val="pt-PT"/>
              </w:rPr>
              <w:t>Não (   )</w:t>
            </w:r>
          </w:p>
          <w:p>
            <w:pPr>
              <w:pStyle w:val="Normal"/>
              <w:jc w:val="both"/>
              <w:rPr/>
            </w:pPr>
            <w:r>
              <w:rPr>
                <w:sz w:val="20"/>
                <w:szCs w:val="20"/>
                <w:lang w:val="pt-PT"/>
              </w:rPr>
              <w:t>Em que unidade? __</w:t>
            </w:r>
            <w:r>
              <w:rPr>
                <w:sz w:val="20"/>
                <w:szCs w:val="20"/>
                <w:lang w:val="en-US"/>
              </w:rPr>
              <w:t>Promotorias de Justiça de Gararu e Riachão do Dantas (a partir de 02/09), unidades por mim titularizadas. Promotoria de Justiça de Cedro de São João (01 a 20/07).Promotoria de Justiça de Carmópolis (16/04 a 15/05). Promotoria de Justiça de Riachão do Dantas (16 a 28/05)</w:t>
            </w:r>
            <w:r>
              <w:rPr>
                <w:sz w:val="20"/>
                <w:szCs w:val="20"/>
                <w:lang w:val="pt-PT"/>
              </w:rPr>
              <w:t>_____________________</w:t>
            </w:r>
          </w:p>
          <w:p>
            <w:pPr>
              <w:pStyle w:val="Normal"/>
              <w:rPr/>
            </w:pPr>
            <w:r>
              <w:rPr>
                <w:sz w:val="20"/>
                <w:szCs w:val="20"/>
                <w:lang w:val="pt-PT"/>
              </w:rPr>
              <w:t xml:space="preserve">Qual o período/dias da semana? </w:t>
            </w:r>
            <w:r>
              <w:rPr>
                <w:sz w:val="20"/>
                <w:szCs w:val="20"/>
                <w:lang w:val="en-US"/>
              </w:rPr>
              <w:t>Comparecimento ao CAOP às 2as  e 6as.</w:t>
            </w:r>
            <w:r>
              <w:rPr>
                <w:sz w:val="20"/>
                <w:szCs w:val="20"/>
                <w:lang w:val="pt-PT"/>
              </w:rPr>
              <w:t>______________________</w:t>
            </w:r>
          </w:p>
        </w:tc>
      </w:tr>
      <w:tr>
        <w:trPr>
          <w:trHeight w:val="87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1.6 Recebeu colaboração de membro ou de órgão de execução nos últimos seis meses</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Sim (   )      Qual? ________________________________   </w:t>
            </w:r>
          </w:p>
          <w:p>
            <w:pPr>
              <w:pStyle w:val="Contedodetabela"/>
              <w:rPr/>
            </w:pPr>
            <w:r>
              <w:rPr>
                <w:sz w:val="20"/>
                <w:szCs w:val="20"/>
                <w:lang w:val="pt-PT"/>
              </w:rPr>
              <w:t xml:space="preserve">Não ( </w:t>
            </w:r>
            <w:r>
              <w:rPr>
                <w:sz w:val="20"/>
                <w:szCs w:val="20"/>
                <w:lang w:val="en-US"/>
              </w:rPr>
              <w:t>x</w:t>
            </w:r>
            <w:r>
              <w:rPr>
                <w:sz w:val="20"/>
                <w:szCs w:val="20"/>
                <w:lang w:val="pt-PT"/>
              </w:rPr>
              <w:t xml:space="preserve">  )</w:t>
            </w:r>
          </w:p>
        </w:tc>
      </w:tr>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1.7 Reside na Unidade de lotação</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Sim ( </w:t>
            </w:r>
            <w:r>
              <w:rPr>
                <w:sz w:val="20"/>
                <w:szCs w:val="20"/>
                <w:lang w:val="en-US"/>
              </w:rPr>
              <w:t>x</w:t>
            </w:r>
            <w:r>
              <w:rPr>
                <w:sz w:val="20"/>
                <w:szCs w:val="20"/>
                <w:lang w:val="pt-PT"/>
              </w:rPr>
              <w:t xml:space="preserve"> )      </w:t>
            </w:r>
          </w:p>
          <w:p>
            <w:pPr>
              <w:pStyle w:val="Contedodetabela"/>
              <w:rPr/>
            </w:pPr>
            <w:r>
              <w:rPr>
                <w:sz w:val="20"/>
                <w:szCs w:val="20"/>
                <w:lang w:val="pt-PT"/>
              </w:rPr>
              <w:t>Não (   )</w:t>
            </w:r>
          </w:p>
        </w:tc>
      </w:tr>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1.8 Endereço Residencial</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keepNext/>
              <w:keepLines w:val="false"/>
              <w:widowControl w:val="false"/>
              <w:shd w:val="clear" w:color="auto" w:fill="auto"/>
              <w:suppressAutoHyphens w:val="true"/>
              <w:bidi w:val="0"/>
              <w:spacing w:lineRule="auto" w:line="240" w:before="0" w:after="0"/>
              <w:ind w:left="0" w:right="0" w:hanging="0"/>
              <w:jc w:val="left"/>
              <w:rPr>
                <w:rFonts w:eastAsia="Cambria" w:cs="Cambria"/>
                <w:b w:val="false"/>
                <w:b w:val="false"/>
                <w:bCs w:val="false"/>
                <w:i w:val="false"/>
                <w:i w:val="false"/>
                <w:iCs w:val="false"/>
                <w:caps w:val="false"/>
                <w:smallCaps w:val="false"/>
                <w:strike w:val="false"/>
                <w:dstrike w:val="false"/>
                <w:outline w:val="false"/>
                <w:color w:val="000000"/>
                <w:spacing w:val="0"/>
                <w:position w:val="0"/>
                <w:sz w:val="24"/>
                <w:sz w:val="20"/>
                <w:szCs w:val="20"/>
                <w:u w:val="none" w:color="000000"/>
                <w:vertAlign w:val="baseline"/>
              </w:rPr>
            </w:pPr>
            <w:r>
              <w:rPr/>
            </w:r>
          </w:p>
          <w:p>
            <w:pPr>
              <w:pStyle w:val="Normal"/>
              <w:widowControl w:val="false"/>
              <w:shd w:val="clear" w:color="auto" w:fill="auto"/>
              <w:suppressAutoHyphens w:val="true"/>
              <w:bidi w:val="0"/>
              <w:spacing w:lineRule="auto" w:line="240" w:before="0" w:after="0"/>
              <w:ind w:left="0" w:right="0" w:hanging="0"/>
              <w:jc w:val="left"/>
              <w:rPr/>
            </w:pPr>
            <w:r>
              <w:rPr>
                <w:rFonts w:eastAsia="Cambria" w:cs="Cambria"/>
                <w:b w:val="false"/>
                <w:bCs w:val="false"/>
                <w:i w:val="false"/>
                <w:iCs w:val="false"/>
                <w:caps w:val="false"/>
                <w:smallCaps w:val="false"/>
                <w:strike w:val="false"/>
                <w:dstrike w:val="false"/>
                <w:outline w:val="false"/>
                <w:color w:val="000000"/>
                <w:spacing w:val="0"/>
                <w:position w:val="0"/>
                <w:sz w:val="20"/>
                <w:sz w:val="20"/>
                <w:szCs w:val="20"/>
                <w:u w:val="none" w:color="000000"/>
                <w:vertAlign w:val="baseline"/>
              </w:rPr>
              <w:t>Aracaju/SE</w:t>
            </w:r>
          </w:p>
        </w:tc>
      </w:tr>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 xml:space="preserve">1.9 Autorizado(a) a residir fora da Comarca </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Sim (   )         Portaria de Autorização nº: _________  Data:</w:t>
            </w:r>
          </w:p>
          <w:p>
            <w:pPr>
              <w:pStyle w:val="Contedodetabela"/>
              <w:rPr/>
            </w:pPr>
            <w:r>
              <w:rPr>
                <w:sz w:val="20"/>
                <w:szCs w:val="20"/>
                <w:lang w:val="pt-PT"/>
              </w:rPr>
              <w:t xml:space="preserve">Não (  </w:t>
            </w:r>
            <w:r>
              <w:rPr>
                <w:sz w:val="20"/>
                <w:szCs w:val="20"/>
                <w:lang w:val="en-US"/>
              </w:rPr>
              <w:t>x</w:t>
            </w:r>
            <w:r>
              <w:rPr>
                <w:sz w:val="20"/>
                <w:szCs w:val="20"/>
                <w:lang w:val="pt-PT"/>
              </w:rPr>
              <w:t xml:space="preserve"> )</w:t>
            </w:r>
          </w:p>
        </w:tc>
      </w:tr>
      <w:tr>
        <w:trPr>
          <w:trHeight w:val="4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1.10 Exerce o Magistério</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Sim (   )         Dados do Estabelecimento e carga horária:</w:t>
            </w:r>
          </w:p>
          <w:p>
            <w:pPr>
              <w:pStyle w:val="Contedodetabela"/>
              <w:rPr/>
            </w:pPr>
            <w:r>
              <w:rPr>
                <w:sz w:val="20"/>
                <w:szCs w:val="20"/>
                <w:lang w:val="pt-PT"/>
              </w:rPr>
              <w:t xml:space="preserve">Não ( </w:t>
            </w:r>
            <w:r>
              <w:rPr>
                <w:sz w:val="20"/>
                <w:szCs w:val="20"/>
                <w:lang w:val="en-US"/>
              </w:rPr>
              <w:t>x</w:t>
            </w:r>
            <w:r>
              <w:rPr>
                <w:sz w:val="20"/>
                <w:szCs w:val="20"/>
                <w:lang w:val="pt-PT"/>
              </w:rPr>
              <w:t xml:space="preserve">  )</w:t>
            </w:r>
          </w:p>
        </w:tc>
      </w:tr>
      <w:tr>
        <w:trPr>
          <w:trHeight w:val="1534" w:hRule="atLeast"/>
        </w:trPr>
        <w:tc>
          <w:tcPr>
            <w:tcW w:w="261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 xml:space="preserve">1.11 </w:t>
            </w:r>
            <w:r>
              <w:rPr>
                <w:b/>
                <w:bCs/>
                <w:sz w:val="18"/>
                <w:szCs w:val="18"/>
                <w:lang w:val="pt-PT"/>
              </w:rPr>
              <w:t>Férias/Licenças/Afastamentos no último ano</w:t>
            </w:r>
          </w:p>
        </w:tc>
        <w:tc>
          <w:tcPr>
            <w:tcW w:w="590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1"/>
                <w:szCs w:val="21"/>
                <w:lang w:val="pt-PT"/>
              </w:rPr>
              <w:t xml:space="preserve">Período de férias do último ano: </w:t>
            </w:r>
            <w:r>
              <w:rPr>
                <w:sz w:val="21"/>
                <w:szCs w:val="21"/>
                <w:lang w:val="en-US"/>
              </w:rPr>
              <w:t>18/03 a 02/04; 17 a 28/06 e 17/09 a 04/10</w:t>
            </w:r>
          </w:p>
          <w:p>
            <w:pPr>
              <w:pStyle w:val="Contedodetabela"/>
              <w:rPr/>
            </w:pPr>
            <w:r>
              <w:rPr>
                <w:sz w:val="21"/>
                <w:szCs w:val="21"/>
                <w:lang w:val="pt-PT"/>
              </w:rPr>
              <w:t xml:space="preserve">Período de licenças do último ano: </w:t>
            </w:r>
            <w:r>
              <w:rPr>
                <w:sz w:val="21"/>
                <w:szCs w:val="21"/>
                <w:lang w:val="en-US"/>
              </w:rPr>
              <w:t>07 e 08/05 (Portaria 824/19. Ação Nacional de Saúde - CNMP).  03 a 06/09 (Portaria 2097/19. Congresso Nacional do MP - Goiânia)</w:t>
            </w:r>
            <w:r>
              <w:rPr>
                <w:sz w:val="21"/>
                <w:szCs w:val="21"/>
                <w:lang w:val="pt-PT"/>
              </w:rPr>
              <w:t>________________________</w:t>
            </w:r>
          </w:p>
          <w:p>
            <w:pPr>
              <w:pStyle w:val="Contedodetabela"/>
              <w:rPr/>
            </w:pPr>
            <w:r>
              <w:rPr>
                <w:sz w:val="21"/>
                <w:szCs w:val="21"/>
                <w:lang w:val="pt-PT"/>
              </w:rPr>
              <w:t>Período de Afastamento do último ano: _____________________</w:t>
            </w:r>
          </w:p>
        </w:tc>
      </w:tr>
    </w:tbl>
    <w:p>
      <w:pPr>
        <w:pStyle w:val="Normal"/>
        <w:jc w:val="both"/>
        <w:rPr/>
      </w:pPr>
      <w:r>
        <w:rPr/>
      </w:r>
    </w:p>
    <w:p>
      <w:pPr>
        <w:pStyle w:val="Normal"/>
        <w:jc w:val="both"/>
        <w:rPr/>
      </w:pPr>
      <w:r>
        <w:rPr/>
      </w:r>
    </w:p>
    <w:p>
      <w:pPr>
        <w:pStyle w:val="Contedodetabela"/>
        <w:snapToGrid w:val="false"/>
        <w:spacing w:lineRule="auto" w:line="360"/>
        <w:jc w:val="both"/>
        <w:rPr/>
      </w:pPr>
      <w:r>
        <w:rPr>
          <w:b/>
          <w:bCs/>
        </w:rPr>
        <w:t>1.12</w:t>
      </w:r>
      <w:r>
        <w:rPr>
          <w:rFonts w:eastAsia="Times New Roman"/>
          <w:b/>
          <w:bCs/>
        </w:rPr>
        <w:t xml:space="preserve"> </w:t>
      </w:r>
      <w:r>
        <w:rPr>
          <w:b/>
          <w:bCs/>
        </w:rPr>
        <w:t>Observações</w:t>
      </w:r>
      <w:r>
        <w:rPr>
          <w:rFonts w:eastAsia="Times New Roman"/>
          <w:b/>
          <w:bCs/>
        </w:rPr>
        <w:t xml:space="preserve"> da Corregedoria Geral</w:t>
      </w:r>
    </w:p>
    <w:p>
      <w:pPr>
        <w:pStyle w:val="Normal"/>
        <w:tabs>
          <w:tab w:val="left" w:pos="555" w:leader="none"/>
        </w:tabs>
        <w:snapToGrid w:val="false"/>
        <w:spacing w:lineRule="auto" w:line="360"/>
        <w:ind w:left="0" w:right="0" w:firstLine="567"/>
        <w:jc w:val="both"/>
        <w:rPr/>
      </w:pPr>
      <w:r>
        <w:rPr/>
        <w:t xml:space="preserve">As férias foram devidamente comunicadas à Corregedoria Geral, conforme </w:t>
        <w:tab/>
        <w:t>disposto no art. 104 da Lei Complementar nº 02/90.</w:t>
      </w:r>
    </w:p>
    <w:p>
      <w:pPr>
        <w:pStyle w:val="Normal"/>
        <w:jc w:val="both"/>
        <w:rPr/>
      </w:pPr>
      <w:r>
        <w:rPr/>
      </w:r>
    </w:p>
    <w:p>
      <w:pPr>
        <w:pStyle w:val="Normal"/>
        <w:numPr>
          <w:ilvl w:val="0"/>
          <w:numId w:val="2"/>
        </w:numPr>
        <w:jc w:val="both"/>
        <w:rPr>
          <w:lang w:val="pt-PT"/>
        </w:rPr>
      </w:pPr>
      <w:r>
        <w:rPr>
          <w:b/>
          <w:bCs/>
          <w:lang w:val="pt-PT"/>
        </w:rPr>
        <w:t>DADOS DO CAOP/UNIDADE</w:t>
      </w:r>
    </w:p>
    <w:p>
      <w:pPr>
        <w:pStyle w:val="Normal"/>
        <w:jc w:val="both"/>
        <w:rPr>
          <w:b/>
          <w:b/>
          <w:bCs/>
        </w:rPr>
      </w:pPr>
      <w:r>
        <w:rPr>
          <w:b/>
          <w:bCs/>
        </w:rPr>
      </w:r>
    </w:p>
    <w:tbl>
      <w:tblPr>
        <w:tblW w:w="8559" w:type="dxa"/>
        <w:jc w:val="left"/>
        <w:tblInd w:w="10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80" w:type="dxa"/>
          <w:left w:w="78" w:type="dxa"/>
          <w:bottom w:w="80" w:type="dxa"/>
          <w:right w:w="80" w:type="dxa"/>
        </w:tblCellMar>
      </w:tblPr>
      <w:tblGrid>
        <w:gridCol w:w="4050"/>
        <w:gridCol w:w="4508"/>
      </w:tblGrid>
      <w:tr>
        <w:trPr>
          <w:trHeight w:val="65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2.1 Servidores</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 </w:t>
            </w:r>
            <w:r>
              <w:rPr>
                <w:sz w:val="20"/>
                <w:szCs w:val="20"/>
                <w:lang w:val="pt-PT"/>
              </w:rPr>
              <w:t>Mariana Moura Rocha - Analista do MPSE – Efetiva</w:t>
            </w:r>
          </w:p>
          <w:p>
            <w:pPr>
              <w:pStyle w:val="Contedodetabela"/>
              <w:rPr/>
            </w:pPr>
            <w:r>
              <w:rPr>
                <w:sz w:val="20"/>
                <w:szCs w:val="20"/>
                <w:lang w:val="pt-PT"/>
              </w:rPr>
              <w:t>Anna Carla Andrade da Silva – Assessora do coordenador da Divisão de Apoio Administrativo -  Conveniada</w:t>
            </w:r>
          </w:p>
          <w:p>
            <w:pPr>
              <w:pStyle w:val="Contedodetabela"/>
              <w:rPr/>
            </w:pPr>
            <w:r>
              <w:rPr>
                <w:sz w:val="20"/>
                <w:szCs w:val="20"/>
                <w:lang w:val="pt-PT"/>
              </w:rPr>
              <w:t>Cinthia Magno Santos Leão – Assessora Operacional - Comissionada</w:t>
            </w:r>
          </w:p>
          <w:p>
            <w:pPr>
              <w:pStyle w:val="Contedodetabela"/>
              <w:rPr/>
            </w:pPr>
            <w:r>
              <w:rPr>
                <w:sz w:val="20"/>
                <w:szCs w:val="20"/>
                <w:lang w:val="pt-PT"/>
              </w:rPr>
              <w:t>José Denílson Macedo Filho - Estagiário</w:t>
            </w:r>
          </w:p>
          <w:p>
            <w:pPr>
              <w:pStyle w:val="Contedodetabela"/>
              <w:rPr/>
            </w:pPr>
            <w:r>
              <w:rPr>
                <w:sz w:val="20"/>
                <w:szCs w:val="20"/>
                <w:lang w:val="pt-PT"/>
              </w:rPr>
              <w:t xml:space="preserve">                   </w:t>
            </w:r>
          </w:p>
        </w:tc>
      </w:tr>
      <w:tr>
        <w:trPr>
          <w:trHeight w:val="65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2.2 A estrutura de apoio é</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 x  ) Satisfatória         </w:t>
            </w:r>
          </w:p>
          <w:p>
            <w:pPr>
              <w:pStyle w:val="Contedodetabela"/>
              <w:rPr/>
            </w:pPr>
            <w:r>
              <w:rPr>
                <w:sz w:val="20"/>
                <w:szCs w:val="20"/>
                <w:lang w:val="pt-PT"/>
              </w:rPr>
              <w:t>(   ) Insuficiente</w:t>
            </w:r>
          </w:p>
          <w:p>
            <w:pPr>
              <w:pStyle w:val="Contedodetabela"/>
              <w:rPr/>
            </w:pPr>
            <w:r>
              <w:rPr>
                <w:sz w:val="20"/>
                <w:szCs w:val="20"/>
                <w:lang w:val="pt-PT"/>
              </w:rPr>
              <w:t>Observações:</w:t>
            </w:r>
          </w:p>
        </w:tc>
      </w:tr>
      <w:tr>
        <w:trPr>
          <w:trHeight w:val="65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2.3 As instalações do CAOP/Unidade são adequadas e satisfatórias</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Sim (  x )      </w:t>
            </w:r>
          </w:p>
          <w:p>
            <w:pPr>
              <w:pStyle w:val="Contedodetabela"/>
              <w:rPr/>
            </w:pPr>
            <w:r>
              <w:rPr>
                <w:sz w:val="20"/>
                <w:szCs w:val="20"/>
                <w:lang w:val="pt-PT"/>
              </w:rPr>
              <w:t xml:space="preserve">Não (   )  </w:t>
            </w:r>
          </w:p>
          <w:p>
            <w:pPr>
              <w:pStyle w:val="Contedodetabela"/>
              <w:rPr/>
            </w:pPr>
            <w:r>
              <w:rPr>
                <w:sz w:val="20"/>
                <w:szCs w:val="20"/>
                <w:lang w:val="pt-PT"/>
              </w:rPr>
              <w:t xml:space="preserve">Observações: </w:t>
            </w:r>
          </w:p>
        </w:tc>
      </w:tr>
      <w:tr>
        <w:trPr>
          <w:trHeight w:val="43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2.4 Horário de Funcionamento do CAOP/Unidade</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rPr>
                <w:sz w:val="20"/>
                <w:szCs w:val="20"/>
              </w:rPr>
            </w:pPr>
            <w:r>
              <w:rPr>
                <w:sz w:val="20"/>
                <w:szCs w:val="20"/>
              </w:rPr>
              <w:t>Das 07:00  às 14:00 – Segunda à Sexta</w:t>
            </w:r>
          </w:p>
        </w:tc>
      </w:tr>
      <w:tr>
        <w:trPr>
          <w:trHeight w:val="21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2.5 Dias/Horário de atendimento ao público</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rPr>
                <w:sz w:val="20"/>
                <w:szCs w:val="20"/>
              </w:rPr>
            </w:pPr>
            <w:r>
              <w:rPr>
                <w:sz w:val="20"/>
                <w:szCs w:val="20"/>
              </w:rPr>
              <w:t>Das 07:00  às 14:00 – Segunda à Sexta</w:t>
            </w:r>
          </w:p>
        </w:tc>
      </w:tr>
      <w:tr>
        <w:trPr>
          <w:trHeight w:val="43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2.6 Quantitativo médio de atendimento ao público semanal</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rPr>
                <w:sz w:val="20"/>
                <w:szCs w:val="20"/>
              </w:rPr>
            </w:pPr>
            <w:r>
              <w:rPr>
                <w:sz w:val="20"/>
                <w:szCs w:val="20"/>
              </w:rPr>
              <w:t>O CAOp não promove atendimento direto ao público</w:t>
            </w:r>
          </w:p>
        </w:tc>
      </w:tr>
      <w:tr>
        <w:trPr>
          <w:trHeight w:val="65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2.7 Há registro dos atendimentos realizados ao público externo (partes/advogados/comunidade)</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ml:space="preserve">Sim (   )      </w:t>
            </w:r>
          </w:p>
          <w:p>
            <w:pPr>
              <w:pStyle w:val="Contedodetabela"/>
              <w:rPr/>
            </w:pPr>
            <w:r>
              <w:rPr>
                <w:sz w:val="20"/>
                <w:szCs w:val="20"/>
                <w:lang w:val="pt-PT"/>
              </w:rPr>
              <w:t>Não ( x )</w:t>
            </w:r>
          </w:p>
        </w:tc>
      </w:tr>
      <w:tr>
        <w:trPr>
          <w:trHeight w:val="65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2.8 A internet está funcionando a contento</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jc w:val="both"/>
              <w:rPr/>
            </w:pPr>
            <w:r>
              <w:rPr>
                <w:sz w:val="20"/>
                <w:szCs w:val="20"/>
                <w:lang w:val="pt-PT"/>
              </w:rPr>
              <w:t xml:space="preserve">Sim ( x )      </w:t>
            </w:r>
          </w:p>
          <w:p>
            <w:pPr>
              <w:pStyle w:val="Contedodetabela"/>
              <w:jc w:val="both"/>
              <w:rPr/>
            </w:pPr>
            <w:r>
              <w:rPr>
                <w:sz w:val="20"/>
                <w:szCs w:val="20"/>
                <w:lang w:val="pt-PT"/>
              </w:rPr>
              <w:t>Não (   )</w:t>
            </w:r>
          </w:p>
          <w:p>
            <w:pPr>
              <w:pStyle w:val="Contedodetabela"/>
              <w:jc w:val="both"/>
              <w:rPr/>
            </w:pPr>
            <w:r>
              <w:rPr>
                <w:sz w:val="20"/>
                <w:szCs w:val="20"/>
                <w:lang w:val="pt-PT"/>
              </w:rPr>
              <w:t>Observações:</w:t>
            </w:r>
          </w:p>
        </w:tc>
      </w:tr>
      <w:tr>
        <w:trPr>
          <w:trHeight w:val="549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2.9 Livros/Pastas (físicas ou eletrônicas) existentes no CAOP/Unidade</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 x )  Ofícios recebidos</w:t>
            </w:r>
          </w:p>
          <w:p>
            <w:pPr>
              <w:pStyle w:val="Contedodetabela"/>
              <w:rPr/>
            </w:pPr>
            <w:r>
              <w:rPr>
                <w:sz w:val="20"/>
                <w:szCs w:val="20"/>
                <w:lang w:val="pt-PT"/>
              </w:rPr>
              <w:t>( x )  Ofícios expedidos</w:t>
            </w:r>
          </w:p>
          <w:p>
            <w:pPr>
              <w:pStyle w:val="Contedodetabela"/>
              <w:rPr/>
            </w:pPr>
            <w:r>
              <w:rPr>
                <w:sz w:val="20"/>
                <w:szCs w:val="20"/>
                <w:lang w:val="pt-PT"/>
              </w:rPr>
              <w:t>( x )   Atos, avisos, instruções normativas, recomendações, portarias e outros normativos do Conselho Nacional do Ministério Público, Procuradoria Geral de Justiça, Corregedoria Geral e Coordenadoria Geral</w:t>
            </w:r>
          </w:p>
          <w:p>
            <w:pPr>
              <w:pStyle w:val="Contedodetabela"/>
              <w:rPr/>
            </w:pPr>
            <w:r>
              <w:rPr>
                <w:sz w:val="20"/>
                <w:szCs w:val="20"/>
                <w:lang w:val="pt-PT"/>
              </w:rPr>
              <w:t>( x  )   Portarias de Procedimento Administrativo Preparatório e Inquérito Civil instaurados</w:t>
            </w:r>
          </w:p>
          <w:p>
            <w:pPr>
              <w:pStyle w:val="Contedodetabela"/>
              <w:rPr/>
            </w:pPr>
            <w:r>
              <w:rPr>
                <w:sz w:val="20"/>
                <w:szCs w:val="20"/>
                <w:lang w:val="pt-PT"/>
              </w:rPr>
              <w:t>(   ) Controle de atendimento ao público</w:t>
            </w:r>
          </w:p>
          <w:p>
            <w:pPr>
              <w:pStyle w:val="Contedodetabela"/>
              <w:rPr/>
            </w:pPr>
            <w:r>
              <w:rPr>
                <w:sz w:val="20"/>
                <w:szCs w:val="20"/>
                <w:lang w:val="pt-PT"/>
              </w:rPr>
              <w:t>(   ) TAC's homologados</w:t>
            </w:r>
          </w:p>
          <w:p>
            <w:pPr>
              <w:pStyle w:val="Contedodetabela"/>
              <w:rPr/>
            </w:pPr>
            <w:r>
              <w:rPr>
                <w:sz w:val="20"/>
                <w:szCs w:val="20"/>
                <w:lang w:val="pt-PT"/>
              </w:rPr>
              <w:t>(   ) Guias do Sistema Arquimedes</w:t>
            </w:r>
          </w:p>
          <w:p>
            <w:pPr>
              <w:pStyle w:val="Contedodetabela"/>
              <w:rPr/>
            </w:pPr>
            <w:r>
              <w:rPr>
                <w:sz w:val="20"/>
                <w:szCs w:val="20"/>
                <w:lang w:val="pt-PT"/>
              </w:rPr>
              <w:t>(   ) Autos de Prisão em Flagrante</w:t>
            </w:r>
          </w:p>
          <w:p>
            <w:pPr>
              <w:pStyle w:val="Contedodetabela"/>
              <w:rPr/>
            </w:pPr>
            <w:r>
              <w:rPr>
                <w:sz w:val="20"/>
                <w:szCs w:val="20"/>
                <w:lang w:val="pt-PT"/>
              </w:rPr>
              <w:t>( x ) Peças Processuais elaboradas na Promotoria</w:t>
            </w:r>
          </w:p>
          <w:p>
            <w:pPr>
              <w:pStyle w:val="Contedodetabela"/>
              <w:rPr/>
            </w:pPr>
            <w:r>
              <w:rPr>
                <w:sz w:val="20"/>
                <w:szCs w:val="20"/>
                <w:lang w:val="pt-PT"/>
              </w:rPr>
              <w:t>(   ) Eleitoral</w:t>
            </w:r>
          </w:p>
          <w:p>
            <w:pPr>
              <w:pStyle w:val="Contedodetabela"/>
              <w:rPr/>
            </w:pPr>
            <w:r>
              <w:rPr>
                <w:sz w:val="20"/>
                <w:szCs w:val="20"/>
                <w:lang w:val="pt-PT"/>
              </w:rPr>
              <w:t>( x ) Livro de carga/protocolo</w:t>
            </w:r>
          </w:p>
          <w:p>
            <w:pPr>
              <w:pStyle w:val="Contedodetabela"/>
              <w:rPr/>
            </w:pPr>
            <w:r>
              <w:rPr>
                <w:sz w:val="20"/>
                <w:szCs w:val="20"/>
                <w:lang w:val="pt-PT"/>
              </w:rPr>
              <w:t>cópia de preenchimento dos formulários – sistemas do MP e CNMP</w:t>
            </w:r>
          </w:p>
          <w:p>
            <w:pPr>
              <w:pStyle w:val="Contedodetabela"/>
              <w:rPr/>
            </w:pPr>
            <w:r>
              <w:rPr>
                <w:sz w:val="20"/>
                <w:szCs w:val="20"/>
                <w:lang w:val="pt-PT"/>
              </w:rPr>
              <w:t xml:space="preserve">(   ) Idepol   (   ) CITT  (   ) Visitas a entidades de acolhimento </w:t>
            </w:r>
          </w:p>
          <w:p>
            <w:pPr>
              <w:pStyle w:val="Contedodetabela"/>
              <w:rPr/>
            </w:pPr>
            <w:r>
              <w:rPr>
                <w:sz w:val="20"/>
                <w:szCs w:val="20"/>
                <w:lang w:val="pt-PT"/>
              </w:rPr>
              <w:t xml:space="preserve">(   ) Visitas a Presídios  (   ) Visitas a unidades socioeducativas </w:t>
            </w:r>
          </w:p>
          <w:p>
            <w:pPr>
              <w:pStyle w:val="Contedodetabela"/>
              <w:rPr/>
            </w:pPr>
            <w:r>
              <w:rPr>
                <w:sz w:val="20"/>
                <w:szCs w:val="20"/>
                <w:lang w:val="pt-PT"/>
              </w:rPr>
              <w:t>(   ) Disque-100</w:t>
            </w:r>
          </w:p>
          <w:p>
            <w:pPr>
              <w:pStyle w:val="Contedodetabela"/>
              <w:rPr/>
            </w:pPr>
            <w:r>
              <w:rPr>
                <w:sz w:val="20"/>
                <w:szCs w:val="20"/>
                <w:lang w:val="pt-PT"/>
              </w:rPr>
              <w:t xml:space="preserve">(   ) Outros. Especificar: ___________________________________  </w:t>
            </w:r>
          </w:p>
        </w:tc>
      </w:tr>
      <w:tr>
        <w:trPr>
          <w:trHeight w:val="109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Contedodetabela"/>
              <w:jc w:val="both"/>
              <w:rPr/>
            </w:pPr>
            <w:r>
              <w:rPr>
                <w:b/>
                <w:bCs/>
                <w:sz w:val="20"/>
                <w:szCs w:val="20"/>
                <w:lang w:val="pt-PT"/>
              </w:rPr>
              <w:t>2.10 Equipamentos existentes no CAOP/Unidade</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Contedodetabela"/>
              <w:rPr/>
            </w:pPr>
            <w:r>
              <w:rPr>
                <w:sz w:val="20"/>
                <w:szCs w:val="20"/>
                <w:lang w:val="pt-PT"/>
              </w:rPr>
              <w:t>quantidade de computadores ( 4  )</w:t>
            </w:r>
          </w:p>
          <w:p>
            <w:pPr>
              <w:pStyle w:val="Contedodetabela"/>
              <w:rPr/>
            </w:pPr>
            <w:r>
              <w:rPr>
                <w:sz w:val="20"/>
                <w:szCs w:val="20"/>
                <w:lang w:val="pt-PT"/>
              </w:rPr>
              <w:t>quantidade de impressoras ( 1  )</w:t>
            </w:r>
          </w:p>
          <w:p>
            <w:pPr>
              <w:pStyle w:val="Contedodetabela"/>
              <w:rPr/>
            </w:pPr>
            <w:r>
              <w:rPr>
                <w:sz w:val="20"/>
                <w:szCs w:val="20"/>
                <w:lang w:val="pt-PT"/>
              </w:rPr>
              <w:t>quantidade de scanners (  3 )</w:t>
            </w:r>
          </w:p>
          <w:p>
            <w:pPr>
              <w:pStyle w:val="Contedodetabela"/>
              <w:rPr/>
            </w:pPr>
            <w:r>
              <w:rPr>
                <w:sz w:val="20"/>
                <w:szCs w:val="20"/>
                <w:lang w:val="pt-PT"/>
              </w:rPr>
              <w:t>quantidade de fax ( 0  )</w:t>
            </w:r>
          </w:p>
          <w:p>
            <w:pPr>
              <w:pStyle w:val="Contedodetabela"/>
              <w:rPr/>
            </w:pPr>
            <w:r>
              <w:rPr>
                <w:sz w:val="20"/>
                <w:szCs w:val="20"/>
                <w:lang w:val="pt-PT"/>
              </w:rPr>
              <w:t>outros equipamentos. Especificar:</w:t>
            </w:r>
          </w:p>
        </w:tc>
      </w:tr>
      <w:tr>
        <w:trPr>
          <w:trHeight w:val="197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2.11 Os Servidores estão aptos a operar os Sistemas do MP/SE e CNMP</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jc w:val="both"/>
              <w:rPr/>
            </w:pPr>
            <w:r>
              <w:rPr>
                <w:sz w:val="20"/>
                <w:szCs w:val="20"/>
                <w:lang w:val="pt-PT"/>
              </w:rPr>
              <w:t xml:space="preserve">Arquimedes: </w:t>
              <w:tab/>
              <w:t xml:space="preserve">                   Sim (  x  )     Não (     )</w:t>
            </w:r>
          </w:p>
          <w:p>
            <w:pPr>
              <w:pStyle w:val="Normal"/>
              <w:jc w:val="both"/>
              <w:rPr/>
            </w:pPr>
            <w:r>
              <w:rPr>
                <w:sz w:val="20"/>
                <w:szCs w:val="20"/>
                <w:lang w:val="pt-PT"/>
              </w:rPr>
              <w:t xml:space="preserve">Proej: </w:t>
              <w:tab/>
              <w:tab/>
              <w:t xml:space="preserve">                   Sim (  x  )     Não (     )</w:t>
            </w:r>
          </w:p>
          <w:p>
            <w:pPr>
              <w:pStyle w:val="Normal"/>
              <w:jc w:val="both"/>
              <w:rPr/>
            </w:pPr>
            <w:r>
              <w:rPr>
                <w:sz w:val="20"/>
                <w:szCs w:val="20"/>
                <w:lang w:val="pt-PT"/>
              </w:rPr>
              <w:t xml:space="preserve">CITT: </w:t>
              <w:tab/>
              <w:tab/>
              <w:t xml:space="preserve">                   Sim (  x  )     Não (     )</w:t>
            </w:r>
          </w:p>
          <w:p>
            <w:pPr>
              <w:pStyle w:val="Normal"/>
              <w:jc w:val="both"/>
              <w:rPr/>
            </w:pPr>
            <w:r>
              <w:rPr>
                <w:sz w:val="20"/>
                <w:szCs w:val="20"/>
                <w:lang w:val="pt-PT"/>
              </w:rPr>
              <w:t>IDEPOL:</w:t>
              <w:tab/>
              <w:t xml:space="preserve">                   Sim (     )     Não (  x )</w:t>
            </w:r>
          </w:p>
          <w:p>
            <w:pPr>
              <w:pStyle w:val="Normal"/>
              <w:jc w:val="both"/>
              <w:rPr/>
            </w:pPr>
            <w:r>
              <w:rPr>
                <w:sz w:val="20"/>
                <w:szCs w:val="20"/>
                <w:lang w:val="pt-PT"/>
              </w:rPr>
              <w:t>MP-Mobile:</w:t>
              <w:tab/>
              <w:t xml:space="preserve">                   Sim (  x  )     Não (    )</w:t>
            </w:r>
          </w:p>
          <w:p>
            <w:pPr>
              <w:pStyle w:val="Normal"/>
              <w:jc w:val="both"/>
              <w:rPr/>
            </w:pPr>
            <w:r>
              <w:rPr>
                <w:sz w:val="20"/>
                <w:szCs w:val="20"/>
                <w:lang w:val="pt-PT"/>
              </w:rPr>
              <w:t>Disque-100:</w:t>
              <w:tab/>
              <w:t xml:space="preserve">                   Sim (     )     Não (  x )</w:t>
            </w:r>
          </w:p>
          <w:p>
            <w:pPr>
              <w:pStyle w:val="Normal"/>
              <w:jc w:val="both"/>
              <w:rPr/>
            </w:pPr>
            <w:r>
              <w:rPr>
                <w:sz w:val="20"/>
                <w:szCs w:val="20"/>
                <w:lang w:val="pt-PT"/>
              </w:rPr>
              <w:t>Unidades de Acolhimento:     Sim (     )     Não (  x )</w:t>
            </w:r>
          </w:p>
          <w:p>
            <w:pPr>
              <w:pStyle w:val="Normal"/>
              <w:jc w:val="both"/>
              <w:rPr/>
            </w:pPr>
            <w:r>
              <w:rPr>
                <w:sz w:val="20"/>
                <w:szCs w:val="20"/>
                <w:lang w:val="pt-PT"/>
              </w:rPr>
              <w:t>Unidades Socioeducativas :   Sim (     )     Não (  x )</w:t>
            </w:r>
          </w:p>
          <w:p>
            <w:pPr>
              <w:pStyle w:val="Normal"/>
              <w:jc w:val="both"/>
              <w:rPr/>
            </w:pPr>
            <w:r>
              <w:rPr>
                <w:sz w:val="20"/>
                <w:szCs w:val="20"/>
                <w:lang w:val="pt-PT"/>
              </w:rPr>
              <w:t>Delegacias de Polícia:            Sim (     )     Não (  x  )</w:t>
            </w:r>
          </w:p>
        </w:tc>
      </w:tr>
      <w:tr>
        <w:trPr>
          <w:trHeight w:val="65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 xml:space="preserve">2.12 A unidade, em sua atuação, observa as nomenclaturas e terminologias presentes nas tabelas taxonômicas do CNMP </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jc w:val="both"/>
              <w:rPr/>
            </w:pPr>
            <w:r>
              <w:rPr>
                <w:sz w:val="20"/>
                <w:szCs w:val="20"/>
                <w:lang w:val="pt-PT"/>
              </w:rPr>
              <w:t>(  x  ) Sim    (    ) Não    (     ) Sem atribuição</w:t>
            </w:r>
          </w:p>
        </w:tc>
      </w:tr>
      <w:tr>
        <w:trPr>
          <w:trHeight w:val="874" w:hRule="atLeast"/>
        </w:trPr>
        <w:tc>
          <w:tcPr>
            <w:tcW w:w="4050"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78" w:type="dxa"/>
            </w:tcMar>
          </w:tcPr>
          <w:p>
            <w:pPr>
              <w:pStyle w:val="Normal"/>
              <w:jc w:val="both"/>
              <w:rPr/>
            </w:pPr>
            <w:r>
              <w:rPr>
                <w:b/>
                <w:bCs/>
                <w:sz w:val="20"/>
                <w:szCs w:val="20"/>
                <w:lang w:val="pt-PT"/>
              </w:rPr>
              <w:t>2.13 A unidade, em sua atuação, está cumprindo a sentença proferida pela Corte Interamericana de Direitos Humanos, no caso “Favela Nova Brasília”</w:t>
            </w:r>
          </w:p>
        </w:tc>
        <w:tc>
          <w:tcPr>
            <w:tcW w:w="450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jc w:val="both"/>
              <w:rPr/>
            </w:pPr>
            <w:r>
              <w:rPr>
                <w:sz w:val="20"/>
                <w:szCs w:val="20"/>
                <w:lang w:val="pt-PT"/>
              </w:rPr>
              <w:t>(    ) Sim    (    ) Não     (  x   ) Sem atribuição</w:t>
            </w:r>
          </w:p>
        </w:tc>
      </w:tr>
    </w:tbl>
    <w:p>
      <w:pPr>
        <w:pStyle w:val="Normal"/>
        <w:jc w:val="both"/>
        <w:rPr>
          <w:b/>
          <w:b/>
          <w:bCs/>
        </w:rPr>
      </w:pPr>
      <w:r>
        <w:rPr>
          <w:b/>
          <w:bCs/>
        </w:rPr>
      </w:r>
    </w:p>
    <w:p>
      <w:pPr>
        <w:pStyle w:val="Contedodetabela"/>
        <w:snapToGrid w:val="false"/>
        <w:jc w:val="both"/>
        <w:rPr/>
      </w:pPr>
      <w:r>
        <w:rPr>
          <w:b/>
          <w:bCs/>
          <w:sz w:val="24"/>
          <w:szCs w:val="24"/>
        </w:rPr>
        <w:t xml:space="preserve">2.14 Observações </w:t>
      </w:r>
      <w:r>
        <w:rPr>
          <w:rFonts w:eastAsia="Lucida Sans Unicode" w:cs="Times New Roman"/>
          <w:b/>
          <w:bCs/>
          <w:color w:val="00000A"/>
          <w:sz w:val="24"/>
          <w:szCs w:val="24"/>
          <w:lang w:val="pt-BR" w:eastAsia="zxx" w:bidi="ar-SA"/>
        </w:rPr>
        <w:t>da Corregedoria</w:t>
      </w:r>
    </w:p>
    <w:p>
      <w:pPr>
        <w:pStyle w:val="Contedodetabela"/>
        <w:snapToGrid w:val="false"/>
        <w:jc w:val="both"/>
        <w:rPr>
          <w:b/>
          <w:b/>
          <w:bCs/>
          <w:sz w:val="24"/>
          <w:szCs w:val="24"/>
        </w:rPr>
      </w:pPr>
      <w:r>
        <w:rPr>
          <w:b/>
          <w:bCs/>
          <w:sz w:val="24"/>
          <w:szCs w:val="24"/>
        </w:rPr>
      </w:r>
    </w:p>
    <w:p>
      <w:pPr>
        <w:pStyle w:val="Contedodetabela"/>
        <w:tabs>
          <w:tab w:val="left" w:pos="570" w:leader="none"/>
        </w:tabs>
        <w:bidi w:val="0"/>
        <w:snapToGrid w:val="false"/>
        <w:spacing w:lineRule="auto" w:line="360"/>
        <w:ind w:left="0" w:right="0" w:firstLine="567"/>
        <w:jc w:val="both"/>
        <w:rPr/>
      </w:pPr>
      <w:r>
        <w:rPr>
          <w:rFonts w:eastAsia="Lucida Sans Unicode" w:cs="Times New Roman"/>
          <w:b/>
          <w:bCs/>
          <w:color w:val="00000A"/>
          <w:sz w:val="24"/>
          <w:szCs w:val="24"/>
          <w:lang w:val="pt-BR" w:eastAsia="zxx" w:bidi="ar-SA"/>
        </w:rPr>
        <w:t xml:space="preserve">A Corregedoria recomenda que o atendimento a partes e advogados seja </w:t>
        <w:tab/>
        <w:t xml:space="preserve">registrado em livro próprio, </w:t>
      </w:r>
      <w:r>
        <w:rPr>
          <w:rFonts w:eastAsia="Lucida Sans Unicode" w:cs="Times New Roman"/>
          <w:b/>
          <w:bCs/>
          <w:color w:val="00000A"/>
          <w:sz w:val="24"/>
          <w:szCs w:val="24"/>
          <w:u w:val="none" w:color="000000"/>
          <w:lang w:val="pt-BR" w:eastAsia="zxx" w:bidi="ar-SA"/>
        </w:rPr>
        <w:t>nos termos do art. 42, II, k, do Regimento Interno da Corregedoria-Geral (Resolução CPJ nº 005/2014)</w:t>
      </w:r>
      <w:r>
        <w:rPr>
          <w:rFonts w:eastAsia="Lucida Sans Unicode" w:cs="Times New Roman"/>
          <w:b w:val="false"/>
          <w:bCs w:val="false"/>
          <w:color w:val="00000A"/>
          <w:sz w:val="24"/>
          <w:szCs w:val="24"/>
          <w:u w:val="none" w:color="000000"/>
          <w:lang w:val="pt-BR" w:eastAsia="zxx" w:bidi="ar-SA"/>
        </w:rPr>
        <w:t>.</w:t>
      </w:r>
      <w:r>
        <w:rPr>
          <w:rFonts w:eastAsia="Lucida Sans Unicode" w:cs="Times New Roman"/>
          <w:b w:val="false"/>
          <w:bCs w:val="false"/>
          <w:color w:val="00000A"/>
          <w:sz w:val="24"/>
          <w:szCs w:val="24"/>
          <w:lang w:val="pt-BR" w:eastAsia="zxx" w:bidi="ar-SA"/>
        </w:rPr>
        <w:t xml:space="preserve"> </w:t>
      </w:r>
    </w:p>
    <w:p>
      <w:pPr>
        <w:pStyle w:val="Normal"/>
        <w:jc w:val="both"/>
        <w:rPr>
          <w:b/>
          <w:b/>
          <w:bCs/>
        </w:rPr>
      </w:pPr>
      <w:r>
        <w:rPr>
          <w:b/>
          <w:bCs/>
        </w:rPr>
      </w:r>
    </w:p>
    <w:p>
      <w:pPr>
        <w:pStyle w:val="Normal"/>
        <w:jc w:val="both"/>
        <w:rPr/>
      </w:pPr>
      <w:r>
        <w:rPr>
          <w:b/>
          <w:bCs/>
          <w:lang w:val="pt-PT"/>
        </w:rPr>
        <w:t>3) ELOGIOS, PRÊMIOS, CURSOS E CONGRESSOS</w:t>
      </w:r>
    </w:p>
    <w:p>
      <w:pPr>
        <w:pStyle w:val="Normal"/>
        <w:jc w:val="both"/>
        <w:rPr>
          <w:b/>
          <w:b/>
          <w:bCs/>
          <w:lang w:val="pt-PT"/>
        </w:rPr>
      </w:pPr>
      <w:r>
        <w:rPr>
          <w:b/>
          <w:bCs/>
          <w:lang w:val="pt-PT"/>
        </w:rPr>
      </w:r>
    </w:p>
    <w:p>
      <w:pPr>
        <w:pStyle w:val="Normal"/>
        <w:ind w:left="0" w:right="0" w:firstLine="567"/>
        <w:jc w:val="both"/>
        <w:rPr/>
      </w:pPr>
      <w:r>
        <w:rPr>
          <w:rFonts w:eastAsia="Times New Roman"/>
          <w:b w:val="false"/>
          <w:bCs w:val="false"/>
          <w:lang w:val="pt-PT"/>
        </w:rPr>
        <w:t>Não foram prestadas informações pelo Promotor de Justiça.</w:t>
      </w:r>
    </w:p>
    <w:p>
      <w:pPr>
        <w:pStyle w:val="Normal"/>
        <w:ind w:left="0" w:right="0" w:firstLine="567"/>
        <w:jc w:val="both"/>
        <w:rPr>
          <w:rFonts w:eastAsia="Times New Roman"/>
          <w:b w:val="false"/>
          <w:b w:val="false"/>
          <w:bCs w:val="false"/>
          <w:lang w:val="pt-PT"/>
        </w:rPr>
      </w:pPr>
      <w:r>
        <w:rPr>
          <w:rFonts w:eastAsia="Times New Roman"/>
          <w:b w:val="false"/>
          <w:bCs w:val="false"/>
          <w:lang w:val="pt-PT"/>
        </w:rPr>
      </w:r>
    </w:p>
    <w:p>
      <w:pPr>
        <w:pStyle w:val="Normal"/>
        <w:jc w:val="both"/>
        <w:rPr/>
      </w:pPr>
      <w:r>
        <w:rPr>
          <w:b/>
          <w:bCs/>
          <w:lang w:val="pt-PT"/>
        </w:rPr>
        <w:t>4) PLANEJAMENTO ESTRATÉGICO</w:t>
      </w:r>
    </w:p>
    <w:p>
      <w:pPr>
        <w:pStyle w:val="Normal"/>
        <w:jc w:val="both"/>
        <w:rPr>
          <w:b/>
          <w:b/>
          <w:bCs/>
        </w:rPr>
      </w:pPr>
      <w:r>
        <w:rPr>
          <w:b/>
          <w:bCs/>
        </w:rPr>
      </w:r>
    </w:p>
    <w:p>
      <w:pPr>
        <w:pStyle w:val="Normal"/>
        <w:jc w:val="both"/>
        <w:rPr>
          <w:b/>
          <w:b/>
          <w:bCs/>
        </w:rPr>
      </w:pPr>
      <w:r>
        <w:rPr>
          <w:b/>
          <w:bCs/>
        </w:rPr>
      </w:r>
    </w:p>
    <w:tbl>
      <w:tblPr>
        <w:tblW w:w="8624" w:type="dxa"/>
        <w:jc w:val="left"/>
        <w:tblInd w:w="10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top w:w="80" w:type="dxa"/>
          <w:left w:w="130" w:type="dxa"/>
          <w:bottom w:w="80" w:type="dxa"/>
          <w:right w:w="80" w:type="dxa"/>
        </w:tblCellMar>
      </w:tblPr>
      <w:tblGrid>
        <w:gridCol w:w="5773"/>
        <w:gridCol w:w="2850"/>
      </w:tblGrid>
      <w:tr>
        <w:trPr>
          <w:trHeight w:val="250" w:hRule="atLeast"/>
        </w:trPr>
        <w:tc>
          <w:tcPr>
            <w:tcW w:w="5773" w:type="dxa"/>
            <w:vMerge w:val="restart"/>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30" w:type="dxa"/>
            </w:tcMar>
            <w:vAlign w:val="center"/>
          </w:tcPr>
          <w:p>
            <w:pPr>
              <w:pStyle w:val="Rule"/>
              <w:spacing w:before="0" w:after="0"/>
              <w:ind w:left="55" w:right="0" w:hanging="13"/>
              <w:rPr/>
            </w:pPr>
            <w:r>
              <w:rPr>
                <w:rFonts w:ascii="Garamond" w:hAnsi="Garamond"/>
                <w:b/>
                <w:bCs/>
                <w:sz w:val="20"/>
                <w:szCs w:val="20"/>
                <w:lang w:val="pt-PT"/>
              </w:rPr>
              <w:t>4.1) Desenvolve ou apoia algum projeto ou programa de interesse social para a Comunidade?</w:t>
            </w:r>
          </w:p>
        </w:tc>
        <w:tc>
          <w:tcPr>
            <w:tcW w:w="28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CCCCC" w:val="clear"/>
            <w:tcMar>
              <w:left w:w="50" w:type="dxa"/>
            </w:tcMar>
          </w:tcPr>
          <w:p>
            <w:pPr>
              <w:pStyle w:val="Rule"/>
              <w:spacing w:before="0" w:after="0"/>
              <w:jc w:val="center"/>
              <w:rPr/>
            </w:pPr>
            <w:r>
              <w:rPr>
                <w:rFonts w:ascii="Garamond" w:hAnsi="Garamond"/>
                <w:sz w:val="20"/>
                <w:szCs w:val="20"/>
                <w:lang w:val="pt-PT"/>
              </w:rPr>
              <w:t>(  x  ) Sim</w:t>
            </w:r>
          </w:p>
        </w:tc>
      </w:tr>
      <w:tr>
        <w:trPr>
          <w:trHeight w:val="250" w:hRule="atLeast"/>
        </w:trPr>
        <w:tc>
          <w:tcPr>
            <w:tcW w:w="5773" w:type="dxa"/>
            <w:vMerge w:val="continue"/>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top w:w="0" w:type="dxa"/>
              <w:left w:w="87" w:type="dxa"/>
              <w:bottom w:w="0" w:type="dxa"/>
              <w:right w:w="108" w:type="dxa"/>
            </w:tcMar>
          </w:tcPr>
          <w:p>
            <w:pPr>
              <w:pStyle w:val="Normal"/>
              <w:rPr/>
            </w:pPr>
            <w:r>
              <w:rPr/>
            </w:r>
          </w:p>
        </w:tc>
        <w:tc>
          <w:tcPr>
            <w:tcW w:w="2850"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CCCCCC" w:val="clear"/>
            <w:tcMar>
              <w:left w:w="50" w:type="dxa"/>
            </w:tcMar>
          </w:tcPr>
          <w:p>
            <w:pPr>
              <w:pStyle w:val="Rule"/>
              <w:spacing w:before="0" w:after="0"/>
              <w:jc w:val="center"/>
              <w:rPr/>
            </w:pPr>
            <w:r>
              <w:rPr>
                <w:rFonts w:ascii="Garamond" w:hAnsi="Garamond"/>
                <w:sz w:val="20"/>
                <w:szCs w:val="20"/>
                <w:lang w:val="pt-PT"/>
              </w:rPr>
              <w:t>(    ) Não</w:t>
            </w:r>
          </w:p>
        </w:tc>
      </w:tr>
      <w:tr>
        <w:trPr>
          <w:trHeight w:val="250" w:hRule="atLeast"/>
        </w:trPr>
        <w:tc>
          <w:tcPr>
            <w:tcW w:w="862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130" w:type="dxa"/>
              <w:right w:w="97" w:type="dxa"/>
            </w:tcMar>
          </w:tcPr>
          <w:p>
            <w:pPr>
              <w:pStyle w:val="Normal"/>
              <w:ind w:left="55" w:right="17" w:hanging="13"/>
              <w:rPr/>
            </w:pPr>
            <w:r>
              <w:rPr>
                <w:rFonts w:ascii="Garamond" w:hAnsi="Garamond"/>
                <w:b/>
                <w:bCs/>
                <w:sz w:val="20"/>
                <w:szCs w:val="20"/>
                <w:lang w:val="pt-PT"/>
              </w:rPr>
              <w:t>4.2) Se desenvolver algum projeto ou programa de interesse social, citar qual(quais):</w:t>
            </w:r>
          </w:p>
        </w:tc>
      </w:tr>
      <w:tr>
        <w:trPr>
          <w:trHeight w:val="970" w:hRule="atLeast"/>
        </w:trPr>
        <w:tc>
          <w:tcPr>
            <w:tcW w:w="862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50" w:type="dxa"/>
            </w:tcMar>
          </w:tcPr>
          <w:p>
            <w:pPr>
              <w:pStyle w:val="Normal"/>
              <w:rPr>
                <w:rFonts w:ascii="Garamond" w:hAnsi="Garamond" w:eastAsia="Garamond" w:cs="Garamond"/>
                <w:b/>
                <w:b/>
                <w:bCs/>
                <w:sz w:val="20"/>
                <w:szCs w:val="20"/>
                <w:lang w:val="pt-PT"/>
              </w:rPr>
            </w:pPr>
            <w:bookmarkStart w:id="0" w:name="__DdeLink__836_1395352363"/>
            <w:bookmarkEnd w:id="0"/>
            <w:r>
              <w:rPr>
                <w:rFonts w:eastAsia="Garamond" w:cs="Garamond" w:ascii="Garamond" w:hAnsi="Garamond"/>
                <w:b/>
                <w:bCs/>
                <w:sz w:val="20"/>
                <w:szCs w:val="20"/>
                <w:lang w:val="pt-PT"/>
              </w:rPr>
              <w:t>Encontra-se em anexo lista de iniciativas desenvolvidas pela unidade.</w:t>
            </w:r>
          </w:p>
          <w:p>
            <w:pPr>
              <w:pStyle w:val="Normal"/>
              <w:rPr>
                <w:rFonts w:ascii="Garamond" w:hAnsi="Garamond" w:eastAsia="Garamond" w:cs="Garamond"/>
                <w:b/>
                <w:b/>
                <w:bCs/>
                <w:sz w:val="20"/>
                <w:szCs w:val="20"/>
                <w:lang w:val="pt-PT"/>
              </w:rPr>
            </w:pPr>
            <w:r>
              <w:rPr>
                <w:rFonts w:eastAsia="Garamond" w:cs="Garamond" w:ascii="Garamond" w:hAnsi="Garamond"/>
                <w:b/>
                <w:bCs/>
                <w:sz w:val="20"/>
                <w:szCs w:val="20"/>
                <w:lang w:val="pt-PT"/>
              </w:rPr>
            </w:r>
          </w:p>
          <w:p>
            <w:pPr>
              <w:pStyle w:val="Normal"/>
              <w:rPr/>
            </w:pPr>
            <w:r>
              <w:rPr/>
            </w:r>
          </w:p>
        </w:tc>
      </w:tr>
      <w:tr>
        <w:trPr>
          <w:trHeight w:val="250" w:hRule="atLeast"/>
        </w:trPr>
        <w:tc>
          <w:tcPr>
            <w:tcW w:w="862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D9D9D9" w:val="clear"/>
            <w:tcMar>
              <w:left w:w="50" w:type="dxa"/>
              <w:right w:w="85" w:type="dxa"/>
            </w:tcMar>
          </w:tcPr>
          <w:p>
            <w:pPr>
              <w:pStyle w:val="Normal"/>
              <w:ind w:left="0" w:right="5" w:hanging="0"/>
              <w:rPr/>
            </w:pPr>
            <w:r>
              <w:rPr>
                <w:rFonts w:ascii="Garamond" w:hAnsi="Garamond"/>
                <w:b/>
                <w:bCs/>
                <w:sz w:val="20"/>
                <w:szCs w:val="20"/>
                <w:lang w:val="pt-PT"/>
              </w:rPr>
              <w:t>4.3) Observações gerais/Justificativa</w:t>
            </w:r>
          </w:p>
        </w:tc>
      </w:tr>
      <w:tr>
        <w:trPr>
          <w:trHeight w:val="1210" w:hRule="atLeast"/>
        </w:trPr>
        <w:tc>
          <w:tcPr>
            <w:tcW w:w="862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FFFFFF" w:val="clear"/>
            <w:tcMar>
              <w:left w:w="50" w:type="dxa"/>
            </w:tcMar>
          </w:tcPr>
          <w:p>
            <w:pPr>
              <w:pStyle w:val="Normal"/>
              <w:rPr>
                <w:rFonts w:ascii="Garamond" w:hAnsi="Garamond" w:eastAsia="Garamond" w:cs="Garamond"/>
                <w:b/>
                <w:b/>
                <w:bCs/>
                <w:sz w:val="20"/>
                <w:szCs w:val="20"/>
                <w:lang w:val="pt-PT"/>
              </w:rPr>
            </w:pPr>
            <w:r>
              <w:rPr>
                <w:rFonts w:eastAsia="Garamond" w:cs="Garamond" w:ascii="Garamond" w:hAnsi="Garamond"/>
                <w:b/>
                <w:bCs/>
                <w:sz w:val="20"/>
                <w:szCs w:val="20"/>
                <w:lang w:val="pt-PT"/>
              </w:rPr>
            </w:r>
          </w:p>
          <w:p>
            <w:pPr>
              <w:pStyle w:val="Normal"/>
              <w:rPr>
                <w:rFonts w:ascii="Garamond" w:hAnsi="Garamond" w:eastAsia="Garamond" w:cs="Garamond"/>
                <w:b/>
                <w:b/>
                <w:bCs/>
                <w:sz w:val="20"/>
                <w:szCs w:val="20"/>
                <w:lang w:val="pt-PT"/>
              </w:rPr>
            </w:pPr>
            <w:r>
              <w:rPr>
                <w:rFonts w:eastAsia="Garamond" w:cs="Garamond" w:ascii="Garamond" w:hAnsi="Garamond"/>
                <w:b/>
                <w:bCs/>
                <w:sz w:val="20"/>
                <w:szCs w:val="20"/>
                <w:lang w:val="pt-PT"/>
              </w:rPr>
            </w:r>
          </w:p>
          <w:p>
            <w:pPr>
              <w:pStyle w:val="Normal"/>
              <w:rPr>
                <w:rFonts w:ascii="Garamond" w:hAnsi="Garamond" w:eastAsia="Garamond" w:cs="Garamond"/>
                <w:b/>
                <w:b/>
                <w:bCs/>
                <w:sz w:val="20"/>
                <w:szCs w:val="20"/>
                <w:lang w:val="pt-PT"/>
              </w:rPr>
            </w:pPr>
            <w:r>
              <w:rPr>
                <w:rFonts w:eastAsia="Garamond" w:cs="Garamond" w:ascii="Garamond" w:hAnsi="Garamond"/>
                <w:b/>
                <w:bCs/>
                <w:sz w:val="20"/>
                <w:szCs w:val="20"/>
                <w:lang w:val="pt-PT"/>
              </w:rPr>
            </w:r>
          </w:p>
          <w:p>
            <w:pPr>
              <w:pStyle w:val="Normal"/>
              <w:rPr/>
            </w:pPr>
            <w:r>
              <w:rPr/>
            </w:r>
          </w:p>
        </w:tc>
      </w:tr>
    </w:tbl>
    <w:p>
      <w:pPr>
        <w:pStyle w:val="Normal"/>
        <w:jc w:val="both"/>
        <w:rPr>
          <w:b/>
          <w:b/>
          <w:bCs/>
        </w:rPr>
      </w:pPr>
      <w:r>
        <w:rPr>
          <w:b/>
          <w:bCs/>
        </w:rPr>
      </w:r>
    </w:p>
    <w:p>
      <w:pPr>
        <w:pStyle w:val="Normal"/>
        <w:jc w:val="both"/>
        <w:rPr/>
      </w:pPr>
      <w:r>
        <w:rPr/>
      </w:r>
    </w:p>
    <w:p>
      <w:pPr>
        <w:pStyle w:val="Normal"/>
        <w:jc w:val="both"/>
        <w:rPr/>
      </w:pPr>
      <w:r>
        <w:rPr>
          <w:b/>
          <w:bCs/>
          <w:color w:val="000000"/>
          <w:u w:val="none" w:color="000000"/>
          <w:lang w:val="pt-PT"/>
        </w:rPr>
        <w:t>5) ATUAÇÃO COMO MEMBRO DESIGNADO</w:t>
      </w:r>
    </w:p>
    <w:p>
      <w:pPr>
        <w:pStyle w:val="Normal"/>
        <w:jc w:val="both"/>
        <w:rPr/>
      </w:pPr>
      <w:r>
        <w:rPr/>
      </w:r>
    </w:p>
    <w:tbl>
      <w:tblPr>
        <w:tblW w:w="9248" w:type="dxa"/>
        <w:jc w:val="left"/>
        <w:tblInd w:w="10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80" w:type="dxa"/>
          <w:left w:w="78" w:type="dxa"/>
          <w:bottom w:w="80" w:type="dxa"/>
          <w:right w:w="80" w:type="dxa"/>
        </w:tblCellMar>
      </w:tblPr>
      <w:tblGrid>
        <w:gridCol w:w="6014"/>
        <w:gridCol w:w="3233"/>
      </w:tblGrid>
      <w:tr>
        <w:trPr>
          <w:trHeight w:val="892" w:hRule="atLeast"/>
        </w:trPr>
        <w:tc>
          <w:tcPr>
            <w:tcW w:w="601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DDDDDD" w:val="clear"/>
            <w:tcMar>
              <w:left w:w="78" w:type="dxa"/>
            </w:tcMar>
          </w:tcPr>
          <w:p>
            <w:pPr>
              <w:pStyle w:val="Contedodatabela"/>
              <w:rPr/>
            </w:pPr>
            <w:r>
              <w:rPr>
                <w:b/>
                <w:bCs/>
                <w:lang w:val="pt-PT"/>
              </w:rPr>
              <w:t>Procedimentos em que o Promotor correcionado atua(ou) como membro designado – fl. 07</w:t>
            </w:r>
          </w:p>
        </w:tc>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DDDDDD" w:val="clear"/>
            <w:tcMar>
              <w:left w:w="78" w:type="dxa"/>
            </w:tcMar>
          </w:tcPr>
          <w:p>
            <w:pPr>
              <w:pStyle w:val="Contedodatabela"/>
              <w:rPr/>
            </w:pPr>
            <w:r>
              <w:rPr>
                <w:b/>
                <w:bCs/>
                <w:lang w:val="pt-PT"/>
              </w:rPr>
              <w:t>Situação do Procedimento</w:t>
            </w:r>
          </w:p>
          <w:p>
            <w:pPr>
              <w:pStyle w:val="Contedodatabela"/>
              <w:rPr/>
            </w:pPr>
            <w:r>
              <w:rPr>
                <w:b/>
                <w:bCs/>
                <w:lang w:val="pt-PT"/>
              </w:rPr>
              <w:t>(encerrado ou em andamento)</w:t>
            </w:r>
          </w:p>
        </w:tc>
      </w:tr>
      <w:tr>
        <w:trPr>
          <w:trHeight w:val="292" w:hRule="atLeast"/>
        </w:trPr>
        <w:tc>
          <w:tcPr>
            <w:tcW w:w="6014"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jc w:val="center"/>
              <w:rPr/>
            </w:pPr>
            <w:r>
              <w:rPr/>
              <w:t>-</w:t>
            </w:r>
          </w:p>
        </w:tc>
        <w:tc>
          <w:tcPr>
            <w:tcW w:w="3233"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78" w:type="dxa"/>
            </w:tcMar>
          </w:tcPr>
          <w:p>
            <w:pPr>
              <w:pStyle w:val="Normal"/>
              <w:jc w:val="center"/>
              <w:rPr/>
            </w:pPr>
            <w:r>
              <w:rPr/>
              <w:t>-</w:t>
            </w:r>
          </w:p>
        </w:tc>
      </w:tr>
    </w:tbl>
    <w:p>
      <w:pPr>
        <w:pStyle w:val="Normal"/>
        <w:jc w:val="both"/>
        <w:rPr/>
      </w:pPr>
      <w:r>
        <w:rPr/>
      </w:r>
    </w:p>
    <w:p>
      <w:pPr>
        <w:pStyle w:val="Normal"/>
        <w:jc w:val="both"/>
        <w:rPr/>
      </w:pPr>
      <w:r>
        <w:rPr/>
      </w:r>
    </w:p>
    <w:p>
      <w:pPr>
        <w:pStyle w:val="Normal"/>
        <w:jc w:val="both"/>
        <w:rPr/>
      </w:pPr>
      <w:r>
        <w:rPr>
          <w:b/>
          <w:bCs/>
          <w:lang w:val="pt-PT"/>
        </w:rPr>
        <w:t>6) AVALIAÇÃO QUALITATIVA DA ATUAÇÃO FUNCIONAL</w:t>
      </w:r>
    </w:p>
    <w:p>
      <w:pPr>
        <w:pStyle w:val="Normal"/>
        <w:jc w:val="both"/>
        <w:rPr>
          <w:b/>
          <w:b/>
          <w:bCs/>
        </w:rPr>
      </w:pPr>
      <w:r>
        <w:rPr>
          <w:b/>
          <w:bCs/>
        </w:rPr>
      </w:r>
    </w:p>
    <w:p>
      <w:pPr>
        <w:pStyle w:val="Normal"/>
        <w:jc w:val="both"/>
        <w:rPr>
          <w:b/>
          <w:b/>
          <w:bCs/>
        </w:rPr>
      </w:pPr>
      <w:r>
        <w:rPr>
          <w:b/>
          <w:bCs/>
        </w:rPr>
      </w:r>
    </w:p>
    <w:tbl>
      <w:tblPr>
        <w:tblW w:w="8556" w:type="dxa"/>
        <w:jc w:val="left"/>
        <w:tblInd w:w="109"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80" w:type="dxa"/>
          <w:left w:w="362" w:type="dxa"/>
          <w:bottom w:w="80" w:type="dxa"/>
          <w:right w:w="80" w:type="dxa"/>
        </w:tblCellMar>
      </w:tblPr>
      <w:tblGrid>
        <w:gridCol w:w="3465"/>
        <w:gridCol w:w="1635"/>
        <w:gridCol w:w="3456"/>
      </w:tblGrid>
      <w:tr>
        <w:trPr>
          <w:trHeight w:val="434" w:hRule="atLeast"/>
        </w:trPr>
        <w:tc>
          <w:tcPr>
            <w:tcW w:w="5100" w:type="dxa"/>
            <w:gridSpan w:val="2"/>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362" w:type="dxa"/>
            </w:tcMar>
          </w:tcPr>
          <w:p>
            <w:pPr>
              <w:pStyle w:val="Notaderodap"/>
              <w:jc w:val="center"/>
              <w:rPr/>
            </w:pPr>
            <w:r>
              <w:rPr>
                <w:lang w:val="pt-PT"/>
              </w:rPr>
              <w:t>Descrever e especificar as atividades desenvolvidas, inclusive em outros órgãos onde atua/atuou.</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362" w:type="dxa"/>
            </w:tcMar>
          </w:tcPr>
          <w:p>
            <w:pPr>
              <w:pStyle w:val="Notaderodap"/>
              <w:jc w:val="center"/>
              <w:rPr/>
            </w:pPr>
            <w:r>
              <w:rPr>
                <w:lang w:val="pt-PT"/>
              </w:rPr>
              <w:t>Descrição da atividade desenvolvida</w:t>
            </w:r>
          </w:p>
        </w:tc>
      </w:tr>
      <w:tr>
        <w:trPr>
          <w:trHeight w:val="43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Contedodetabela"/>
              <w:jc w:val="both"/>
              <w:rPr/>
            </w:pPr>
            <w:r>
              <w:rPr>
                <w:b/>
                <w:bCs/>
                <w:sz w:val="20"/>
                <w:szCs w:val="20"/>
                <w:lang w:val="pt-PT"/>
              </w:rPr>
              <w:t>11.1 Exercício da função pedagógica da cidadania</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x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rFonts w:ascii="Garamond" w:hAnsi="Garamond" w:eastAsia="Garamond" w:cs="Garamond"/>
                <w:b/>
                <w:b/>
                <w:bCs/>
                <w:sz w:val="20"/>
                <w:szCs w:val="20"/>
                <w:lang w:val="pt-PT"/>
              </w:rPr>
            </w:pPr>
            <w:r>
              <w:rPr>
                <w:rFonts w:eastAsia="Garamond" w:cs="Garamond" w:ascii="Garamond" w:hAnsi="Garamond"/>
                <w:b/>
                <w:bCs/>
                <w:sz w:val="20"/>
                <w:szCs w:val="20"/>
                <w:lang w:val="pt-PT"/>
              </w:rPr>
              <w:t>Encontra-se em anexo lista de iniciativas desenvolvidas pela unidade.</w:t>
            </w:r>
          </w:p>
        </w:tc>
      </w:tr>
      <w:tr>
        <w:trPr>
          <w:trHeight w:val="43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Normal"/>
              <w:jc w:val="both"/>
              <w:rPr/>
            </w:pPr>
            <w:r>
              <w:rPr>
                <w:b/>
                <w:bCs/>
                <w:sz w:val="20"/>
                <w:szCs w:val="20"/>
                <w:lang w:val="pt-PT"/>
              </w:rPr>
              <w:t>11.2 Realização periódica de audiências públicas</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pPr>
            <w:r>
              <w:rPr/>
            </w:r>
          </w:p>
        </w:tc>
      </w:tr>
      <w:tr>
        <w:trPr>
          <w:trHeight w:val="43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Contedodetabela"/>
              <w:jc w:val="both"/>
              <w:rPr/>
            </w:pPr>
            <w:r>
              <w:rPr>
                <w:b/>
                <w:bCs/>
                <w:sz w:val="20"/>
                <w:szCs w:val="20"/>
                <w:lang w:val="pt-PT"/>
              </w:rPr>
              <w:t>11.3 Combater as causas que geram desigualdades</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x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rFonts w:ascii="Garamond" w:hAnsi="Garamond" w:eastAsia="Garamond" w:cs="Garamond"/>
                <w:b/>
                <w:b/>
                <w:bCs/>
                <w:sz w:val="20"/>
                <w:szCs w:val="20"/>
                <w:lang w:val="pt-PT"/>
              </w:rPr>
            </w:pPr>
            <w:r>
              <w:rPr>
                <w:rFonts w:eastAsia="Garamond" w:cs="Garamond" w:ascii="Garamond" w:hAnsi="Garamond"/>
                <w:b/>
                <w:bCs/>
                <w:sz w:val="20"/>
                <w:szCs w:val="20"/>
                <w:lang w:val="pt-PT"/>
              </w:rPr>
              <w:t>Encontra-se em anexo lista de iniciativas desenvolvidas pela unidade.</w:t>
            </w:r>
          </w:p>
        </w:tc>
      </w:tr>
      <w:tr>
        <w:trPr>
          <w:trHeight w:val="43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Normal"/>
              <w:jc w:val="both"/>
              <w:rPr/>
            </w:pPr>
            <w:r>
              <w:rPr>
                <w:b/>
                <w:bCs/>
                <w:sz w:val="20"/>
                <w:szCs w:val="20"/>
                <w:lang w:val="pt-PT"/>
              </w:rPr>
              <w:t>11.4 Incentivo ao controle de constitucionalidade</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pPr>
            <w:r>
              <w:rPr/>
            </w:r>
          </w:p>
        </w:tc>
      </w:tr>
      <w:tr>
        <w:trPr>
          <w:trHeight w:val="65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Normal"/>
              <w:jc w:val="both"/>
              <w:rPr/>
            </w:pPr>
            <w:r>
              <w:rPr>
                <w:b/>
                <w:bCs/>
                <w:sz w:val="20"/>
                <w:szCs w:val="20"/>
                <w:lang w:val="pt-PT"/>
              </w:rPr>
              <w:t>11.5 Fiscalização do cumprimento das sentenças de procedência proferidas em ações promovidas pelo MP</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pPr>
            <w:r>
              <w:rPr/>
            </w:r>
          </w:p>
        </w:tc>
      </w:tr>
      <w:tr>
        <w:trPr>
          <w:trHeight w:val="87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Contedodetabela"/>
              <w:jc w:val="both"/>
              <w:rPr/>
            </w:pPr>
            <w:r>
              <w:rPr>
                <w:b/>
                <w:bCs/>
                <w:sz w:val="20"/>
                <w:szCs w:val="20"/>
                <w:lang w:val="pt-PT"/>
              </w:rPr>
              <w:t>11.6 Incentivar o cumprimento da Resolução 118 do CNMP: priorização da resolução consensual das demandas</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pPr>
            <w:r>
              <w:rPr/>
            </w:r>
          </w:p>
        </w:tc>
      </w:tr>
      <w:tr>
        <w:trPr>
          <w:trHeight w:val="654" w:hRule="atLeast"/>
        </w:trPr>
        <w:tc>
          <w:tcPr>
            <w:tcW w:w="346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E6E6E6" w:val="clear"/>
            <w:tcMar>
              <w:left w:w="64" w:type="dxa"/>
            </w:tcMar>
          </w:tcPr>
          <w:p>
            <w:pPr>
              <w:pStyle w:val="Contedodetabela"/>
              <w:jc w:val="both"/>
              <w:rPr/>
            </w:pPr>
            <w:r>
              <w:rPr>
                <w:b/>
                <w:bCs/>
                <w:sz w:val="20"/>
                <w:szCs w:val="20"/>
                <w:lang w:val="pt-PT"/>
              </w:rPr>
              <w:t>11.7 Atua ou atuou em casos complexos ou de repercussão social no último ano</w:t>
            </w:r>
          </w:p>
        </w:tc>
        <w:tc>
          <w:tcPr>
            <w:tcW w:w="1635"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Contedodetabela"/>
              <w:jc w:val="center"/>
              <w:rPr/>
            </w:pPr>
            <w:r>
              <w:rPr>
                <w:sz w:val="20"/>
                <w:szCs w:val="20"/>
                <w:lang w:val="pt-PT"/>
              </w:rPr>
              <w:t>(   ) Sim   (   ) Não</w:t>
            </w:r>
          </w:p>
        </w:tc>
        <w:tc>
          <w:tcPr>
            <w:tcW w:w="3456"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fill="CED7E7" w:val="clear"/>
            <w:tcMar>
              <w:left w:w="64" w:type="dxa"/>
            </w:tcMar>
          </w:tcPr>
          <w:p>
            <w:pPr>
              <w:pStyle w:val="Normal"/>
              <w:rPr/>
            </w:pPr>
            <w:r>
              <w:rPr/>
            </w:r>
          </w:p>
        </w:tc>
      </w:tr>
    </w:tbl>
    <w:p>
      <w:pPr>
        <w:pStyle w:val="Normal"/>
        <w:jc w:val="both"/>
        <w:rPr>
          <w:b/>
          <w:b/>
          <w:bCs/>
        </w:rPr>
      </w:pPr>
      <w:r>
        <w:rPr>
          <w:b/>
          <w:bCs/>
        </w:rPr>
      </w:r>
    </w:p>
    <w:p>
      <w:pPr>
        <w:pStyle w:val="Normal"/>
        <w:jc w:val="both"/>
        <w:rPr/>
      </w:pPr>
      <w:r>
        <w:rPr/>
      </w:r>
    </w:p>
    <w:p>
      <w:pPr>
        <w:pStyle w:val="Normal"/>
        <w:jc w:val="both"/>
        <w:rPr>
          <w:b/>
          <w:b/>
          <w:bCs/>
        </w:rPr>
      </w:pPr>
      <w:r>
        <w:rPr>
          <w:b/>
          <w:bCs/>
        </w:rPr>
      </w:r>
    </w:p>
    <w:p>
      <w:pPr>
        <w:pStyle w:val="Normal"/>
        <w:jc w:val="both"/>
        <w:rPr>
          <w:b/>
          <w:b/>
          <w:bCs/>
        </w:rPr>
      </w:pPr>
      <w:r>
        <w:rPr>
          <w:b/>
          <w:bCs/>
        </w:rPr>
      </w:r>
    </w:p>
    <w:p>
      <w:pPr>
        <w:pStyle w:val="Normal"/>
        <w:jc w:val="both"/>
        <w:rPr/>
      </w:pPr>
      <w:r>
        <w:rPr>
          <w:b/>
          <w:bCs/>
          <w:lang w:val="pt-PT"/>
        </w:rPr>
        <w:t>7) REGISTRO FOTOGRÁFICO</w:t>
      </w:r>
    </w:p>
    <w:p>
      <w:pPr>
        <w:pStyle w:val="Normal"/>
        <w:jc w:val="both"/>
        <w:rPr>
          <w:b/>
          <w:b/>
          <w:bCs/>
          <w:lang w:val="pt-PT"/>
        </w:rPr>
      </w:pPr>
      <w:r>
        <w:rPr>
          <w:b/>
          <w:bCs/>
          <w:lang w:val="pt-PT"/>
        </w:rPr>
      </w:r>
    </w:p>
    <w:p>
      <w:pPr>
        <w:pStyle w:val="Normal"/>
        <w:jc w:val="both"/>
        <w:rPr>
          <w:b/>
          <w:b/>
          <w:bCs/>
          <w:lang w:val="pt-PT"/>
        </w:rPr>
      </w:pPr>
      <w:r>
        <w:rPr>
          <w:b/>
          <w:bCs/>
          <w:lang w:val="pt-PT"/>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5400040" cy="2624455"/>
            <wp:effectExtent l="0" t="0" r="0" b="0"/>
            <wp:wrapSquare wrapText="largest"/>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3"/>
                    <a:stretch>
                      <a:fillRect/>
                    </a:stretch>
                  </pic:blipFill>
                  <pic:spPr bwMode="auto">
                    <a:xfrm>
                      <a:off x="0" y="0"/>
                      <a:ext cx="5400040" cy="2624455"/>
                    </a:xfrm>
                    <a:prstGeom prst="rect">
                      <a:avLst/>
                    </a:prstGeom>
                  </pic:spPr>
                </pic:pic>
              </a:graphicData>
            </a:graphic>
          </wp:anchor>
        </w:drawing>
      </w:r>
    </w:p>
    <w:p>
      <w:pPr>
        <w:pStyle w:val="Normal"/>
        <w:jc w:val="both"/>
        <w:rPr>
          <w:b/>
          <w:b/>
          <w:bCs/>
          <w:lang w:val="pt-PT"/>
        </w:rPr>
      </w:pPr>
      <w:r>
        <w:rPr>
          <w:b/>
          <w:bCs/>
          <w:lang w:val="pt-PT"/>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400040" cy="2624455"/>
            <wp:effectExtent l="0" t="0" r="0" b="0"/>
            <wp:wrapSquare wrapText="largest"/>
            <wp:docPr id="3" name="Figura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2" descr=""/>
                    <pic:cNvPicPr>
                      <a:picLocks noChangeAspect="1" noChangeArrowheads="1"/>
                    </pic:cNvPicPr>
                  </pic:nvPicPr>
                  <pic:blipFill>
                    <a:blip r:embed="rId4"/>
                    <a:stretch>
                      <a:fillRect/>
                    </a:stretch>
                  </pic:blipFill>
                  <pic:spPr bwMode="auto">
                    <a:xfrm>
                      <a:off x="0" y="0"/>
                      <a:ext cx="5400040" cy="2624455"/>
                    </a:xfrm>
                    <a:prstGeom prst="rect">
                      <a:avLst/>
                    </a:prstGeom>
                  </pic:spPr>
                </pic:pic>
              </a:graphicData>
            </a:graphic>
          </wp:anchor>
        </w:drawing>
      </w:r>
    </w:p>
    <w:p>
      <w:pPr>
        <w:pStyle w:val="Normal"/>
        <w:jc w:val="both"/>
        <w:rPr>
          <w:b/>
          <w:b/>
          <w:bCs/>
          <w:lang w:val="pt-PT"/>
        </w:rPr>
      </w:pPr>
      <w:r>
        <w:rPr>
          <w:b/>
          <w:bCs/>
          <w:lang w:val="pt-PT"/>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5400040" cy="2624455"/>
            <wp:effectExtent l="0" t="0" r="0" b="0"/>
            <wp:wrapSquare wrapText="largest"/>
            <wp:docPr id="4"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3" descr=""/>
                    <pic:cNvPicPr>
                      <a:picLocks noChangeAspect="1" noChangeArrowheads="1"/>
                    </pic:cNvPicPr>
                  </pic:nvPicPr>
                  <pic:blipFill>
                    <a:blip r:embed="rId5"/>
                    <a:stretch>
                      <a:fillRect/>
                    </a:stretch>
                  </pic:blipFill>
                  <pic:spPr bwMode="auto">
                    <a:xfrm>
                      <a:off x="0" y="0"/>
                      <a:ext cx="5400040" cy="2624455"/>
                    </a:xfrm>
                    <a:prstGeom prst="rect">
                      <a:avLst/>
                    </a:prstGeom>
                  </pic:spPr>
                </pic:pic>
              </a:graphicData>
            </a:graphic>
          </wp:anchor>
        </w:drawing>
      </w:r>
    </w:p>
    <w:p>
      <w:pPr>
        <w:pStyle w:val="Normal"/>
        <w:jc w:val="both"/>
        <w:rPr>
          <w:b/>
          <w:b/>
          <w:bCs/>
          <w:lang w:val="pt-PT"/>
        </w:rPr>
      </w:pPr>
      <w:r>
        <w:rPr>
          <w:b/>
          <w:bCs/>
          <w:lang w:val="pt-PT"/>
        </w:rPr>
      </w:r>
    </w:p>
    <w:p>
      <w:pPr>
        <w:pStyle w:val="Normal"/>
        <w:spacing w:lineRule="auto" w:line="360"/>
        <w:jc w:val="both"/>
        <w:rPr/>
      </w:pPr>
      <w:r>
        <w:rPr>
          <w:rFonts w:cs="Times New Roman"/>
          <w:b/>
          <w:bCs/>
          <w:color w:val="000000"/>
          <w:sz w:val="24"/>
          <w:szCs w:val="24"/>
        </w:rPr>
        <w:t>8) CONCLUSÕES DA CORREGEDORIA-GERAL</w:t>
      </w:r>
    </w:p>
    <w:p>
      <w:pPr>
        <w:pStyle w:val="Normal"/>
        <w:tabs>
          <w:tab w:val="left" w:pos="570" w:leader="none"/>
        </w:tabs>
        <w:spacing w:lineRule="auto" w:line="360"/>
        <w:ind w:left="0" w:right="0" w:firstLine="567"/>
        <w:jc w:val="both"/>
        <w:rPr>
          <w:rFonts w:ascii="Times New Roman" w:hAnsi="Times New Roman" w:cs="Times New Roman"/>
          <w:color w:val="000000"/>
          <w:sz w:val="24"/>
          <w:szCs w:val="24"/>
        </w:rPr>
      </w:pPr>
      <w:r>
        <w:rPr>
          <w:rFonts w:eastAsia="Lucida Sans Unicode" w:cs="Times New Roman"/>
          <w:color w:val="000000"/>
          <w:sz w:val="24"/>
          <w:szCs w:val="24"/>
          <w:lang w:val="pt-BR" w:eastAsia="zxx" w:bidi="ar-SA"/>
        </w:rPr>
        <w:t xml:space="preserve">Os Centros de Apoio Operacional do Ministério Público de Sergipe foram criados </w:t>
        <w:tab/>
        <w:t xml:space="preserve">através da Resolução CPJ nº 007/2011, como órgãos auxiliares da atividade funcional do Ministério Público, exercendo atribuições em todo o Estado, sendo coordenados e supervisionados pela Coordenadoria-Geral. </w:t>
      </w:r>
    </w:p>
    <w:p>
      <w:pPr>
        <w:pStyle w:val="Normal"/>
        <w:spacing w:lineRule="auto" w:line="360"/>
        <w:ind w:left="0" w:right="0" w:firstLine="567"/>
        <w:jc w:val="both"/>
        <w:rPr>
          <w:rFonts w:ascii="Times New Roman" w:hAnsi="Times New Roman" w:eastAsia="Lucida Sans Unicode" w:cs="Times New Roman"/>
          <w:color w:val="000000"/>
          <w:sz w:val="24"/>
          <w:szCs w:val="24"/>
          <w:lang w:val="pt-BR" w:eastAsia="zxx" w:bidi="ar-SA"/>
        </w:rPr>
      </w:pPr>
      <w:r>
        <w:rPr>
          <w:rFonts w:eastAsia="Lucida Sans Unicode" w:cs="Times New Roman"/>
          <w:color w:val="000000"/>
          <w:sz w:val="24"/>
          <w:szCs w:val="24"/>
          <w:lang w:val="pt-BR" w:eastAsia="zxx" w:bidi="ar-SA"/>
        </w:rPr>
      </w:r>
    </w:p>
    <w:p>
      <w:pPr>
        <w:pStyle w:val="Normal"/>
        <w:tabs>
          <w:tab w:val="left" w:pos="570" w:leader="none"/>
        </w:tabs>
        <w:spacing w:lineRule="auto" w:line="360"/>
        <w:ind w:left="0" w:right="0" w:firstLine="567"/>
        <w:jc w:val="both"/>
        <w:rPr>
          <w:rFonts w:ascii="Times New Roman" w:hAnsi="Times New Roman" w:eastAsia="Lucida Sans Unicode" w:cs="Times New Roman"/>
          <w:color w:val="000000"/>
          <w:sz w:val="24"/>
          <w:szCs w:val="24"/>
          <w:lang w:val="pt-BR" w:eastAsia="zxx" w:bidi="ar-SA"/>
        </w:rPr>
      </w:pPr>
      <w:r>
        <w:rPr>
          <w:rFonts w:eastAsia="Lucida Sans Unicode" w:cs="Times New Roman"/>
          <w:color w:val="000000"/>
          <w:sz w:val="24"/>
          <w:szCs w:val="24"/>
          <w:lang w:val="pt-BR" w:eastAsia="zxx" w:bidi="ar-SA"/>
        </w:rPr>
        <w:t xml:space="preserve">Não é atribuição dos Centros de Apoio Operacional o exercício de atividades de </w:t>
        <w:tab/>
        <w:t>órgão de execução nem de expedição de atos normativos, podendo, todavia, propor, em conjunto com os órgãos locais de execução, por solicitação destes, as medidas cabíveis, cíveis ou criminais, judiciais ou administrativas, principais, acessórias ou cautelares.</w:t>
      </w:r>
    </w:p>
    <w:p>
      <w:pPr>
        <w:pStyle w:val="Normal"/>
        <w:spacing w:lineRule="auto" w:line="360"/>
        <w:ind w:left="0" w:right="0" w:firstLine="567"/>
        <w:jc w:val="both"/>
        <w:rPr>
          <w:rFonts w:ascii="Times New Roman" w:hAnsi="Times New Roman" w:eastAsia="Lucida Sans Unicode" w:cs="Times New Roman"/>
          <w:color w:val="000000"/>
          <w:sz w:val="24"/>
          <w:szCs w:val="24"/>
          <w:lang w:val="pt-BR" w:eastAsia="zxx" w:bidi="ar-SA"/>
        </w:rPr>
      </w:pPr>
      <w:r>
        <w:rPr>
          <w:rFonts w:eastAsia="Lucida Sans Unicode" w:cs="Times New Roman"/>
          <w:color w:val="000000"/>
          <w:sz w:val="24"/>
          <w:szCs w:val="24"/>
          <w:lang w:val="pt-BR" w:eastAsia="zxx" w:bidi="ar-SA"/>
        </w:rPr>
      </w:r>
    </w:p>
    <w:p>
      <w:pPr>
        <w:pStyle w:val="Normal"/>
        <w:tabs>
          <w:tab w:val="left" w:pos="570" w:leader="none"/>
        </w:tabs>
        <w:spacing w:lineRule="auto" w:line="360"/>
        <w:ind w:left="0" w:right="0" w:firstLine="567"/>
        <w:jc w:val="both"/>
        <w:rPr/>
      </w:pPr>
      <w:r>
        <w:rPr>
          <w:rStyle w:val="LinkdaInternet"/>
          <w:rFonts w:eastAsia="Lucida Sans Unicode" w:cs="Times New Roman"/>
          <w:b w:val="false"/>
          <w:bCs w:val="false"/>
          <w:i w:val="false"/>
          <w:iCs w:val="false"/>
          <w:color w:val="000000"/>
          <w:sz w:val="24"/>
          <w:szCs w:val="24"/>
          <w:u w:val="none" w:color="000000"/>
          <w:lang w:val="pt-BR" w:eastAsia="zxx" w:bidi="ar-SA"/>
        </w:rPr>
        <w:t xml:space="preserve">Compete, primordialmente, aos CAOP's estimular a integração e intercâmbio </w:t>
        <w:tab/>
        <w:t>entre órgãos de execução que atuem na mesma área e que tenham atribuições comuns, inclusive para efeito de atuação conjunta.</w:t>
      </w:r>
    </w:p>
    <w:p>
      <w:pPr>
        <w:pStyle w:val="Normal"/>
        <w:spacing w:lineRule="auto" w:line="360"/>
        <w:ind w:left="0" w:right="0" w:firstLine="567"/>
        <w:jc w:val="both"/>
        <w:rPr/>
      </w:pPr>
      <w:r>
        <w:rPr/>
      </w:r>
    </w:p>
    <w:p>
      <w:pPr>
        <w:pStyle w:val="Normal"/>
        <w:tabs>
          <w:tab w:val="left" w:pos="570" w:leader="none"/>
        </w:tabs>
        <w:bidi w:val="0"/>
        <w:spacing w:lineRule="auto" w:line="360"/>
        <w:ind w:left="0" w:right="0" w:firstLine="567"/>
        <w:jc w:val="both"/>
        <w:rPr/>
      </w:pPr>
      <w:r>
        <w:rPr>
          <w:rStyle w:val="LinkdaInternet"/>
          <w:rFonts w:eastAsia="Lucida Sans Unicode" w:cs="Times New Roman"/>
          <w:b w:val="false"/>
          <w:bCs w:val="false"/>
          <w:i w:val="false"/>
          <w:iCs w:val="false"/>
          <w:color w:val="00000A"/>
          <w:sz w:val="24"/>
          <w:szCs w:val="24"/>
          <w:u w:val="none" w:color="000000"/>
          <w:lang w:val="pt-BR" w:eastAsia="zxx" w:bidi="ar-SA"/>
        </w:rPr>
        <w:t xml:space="preserve">Verificou-se que o Centro de Apoio Operacional dos Direitos Humanos estava </w:t>
        <w:tab/>
        <w:t xml:space="preserve">atuando de forma proativa, sendo informado pelo Diretor as Iniciativas realizadas, quais sejam, Encontro Estadual sobre o Pacto de enfrentamento da violência LGBTfóbica, Curso “Direito Humanos e LGBTs”, Realização do evento: “Conscientização por igualdade de Direitos”, </w:t>
      </w:r>
      <w:r>
        <w:rPr>
          <w:rStyle w:val="LinkdaInternet"/>
          <w:rFonts w:eastAsia="Lucida Sans Unicode" w:cs="Arial"/>
          <w:b w:val="false"/>
          <w:bCs w:val="false"/>
          <w:i w:val="false"/>
          <w:iCs w:val="false"/>
          <w:color w:val="00000A"/>
          <w:sz w:val="24"/>
          <w:szCs w:val="24"/>
          <w:u w:val="none" w:color="000000"/>
          <w:lang w:val="pt-BR" w:eastAsia="zxx" w:bidi="ar-SA"/>
        </w:rPr>
        <w:t xml:space="preserve">Participação na Parada LGBT, em conjunto com a Defensoria Pública do Estado de Sergipe e da OAB/SE (fl. 19). Da mesma forma, foram noticiadas as Iniciativas em andamento: Auxílio à Promotoria de Justiça do Controle Externo da atividade policial na realização do </w:t>
      </w:r>
      <w:r>
        <w:rPr>
          <w:rStyle w:val="LinkdaInternet"/>
          <w:rFonts w:eastAsia="Lucida Sans Unicode" w:cs="Arial"/>
          <w:b w:val="false"/>
          <w:bCs w:val="false"/>
          <w:i w:val="false"/>
          <w:iCs w:val="false"/>
          <w:color w:val="000000"/>
          <w:sz w:val="24"/>
          <w:szCs w:val="24"/>
          <w:u w:val="none" w:color="000000"/>
          <w:lang w:val="pt-BR" w:eastAsia="zxx" w:bidi="ar-SA"/>
        </w:rPr>
        <w:t>Curso “Gênero, diversidade sexual e segurança pública” e Organização de evento voltado à conscientização para o combate da violência contra a pessoa idosa.</w:t>
      </w:r>
    </w:p>
    <w:p>
      <w:pPr>
        <w:pStyle w:val="Normal"/>
        <w:tabs>
          <w:tab w:val="left" w:pos="570" w:leader="none"/>
        </w:tabs>
        <w:bidi w:val="0"/>
        <w:spacing w:lineRule="auto" w:line="360"/>
        <w:ind w:left="0" w:right="0" w:firstLine="567"/>
        <w:jc w:val="both"/>
        <w:rPr>
          <w:rStyle w:val="LinkdaInternet"/>
          <w:rFonts w:ascii="Times New Roman" w:hAnsi="Times New Roman" w:eastAsia="Lucida Sans Unicode" w:cs="Times New Roman"/>
          <w:b w:val="false"/>
          <w:b w:val="false"/>
          <w:bCs w:val="false"/>
          <w:i w:val="false"/>
          <w:i w:val="false"/>
          <w:iCs w:val="false"/>
          <w:color w:val="00000A"/>
          <w:sz w:val="24"/>
          <w:szCs w:val="24"/>
          <w:u w:val="none" w:color="000000"/>
          <w:lang w:val="pt-BR" w:eastAsia="zxx" w:bidi="ar-SA"/>
        </w:rPr>
      </w:pPr>
      <w:r>
        <w:rPr>
          <w:rFonts w:eastAsia="Lucida Sans Unicode" w:cs="Times New Roman"/>
          <w:b w:val="false"/>
          <w:bCs w:val="false"/>
          <w:i w:val="false"/>
          <w:iCs w:val="false"/>
          <w:color w:val="00000A"/>
          <w:sz w:val="24"/>
          <w:szCs w:val="24"/>
          <w:u w:val="none" w:color="000000"/>
          <w:lang w:val="pt-BR" w:eastAsia="zxx" w:bidi="ar-SA"/>
        </w:rPr>
      </w:r>
    </w:p>
    <w:p>
      <w:pPr>
        <w:pStyle w:val="Normal"/>
        <w:tabs>
          <w:tab w:val="left" w:pos="570" w:leader="none"/>
        </w:tabs>
        <w:bidi w:val="0"/>
        <w:spacing w:lineRule="auto" w:line="360"/>
        <w:ind w:left="0" w:right="0" w:firstLine="567"/>
        <w:jc w:val="both"/>
        <w:rPr/>
      </w:pPr>
      <w:r>
        <w:rPr>
          <w:rStyle w:val="LinkdaInternet"/>
          <w:rFonts w:eastAsia="Lucida Sans Unicode" w:cs="Times New Roman"/>
          <w:b w:val="false"/>
          <w:bCs w:val="false"/>
          <w:i w:val="false"/>
          <w:iCs w:val="false"/>
          <w:color w:val="00000A"/>
          <w:sz w:val="24"/>
          <w:szCs w:val="24"/>
          <w:u w:val="none" w:color="000000"/>
          <w:lang w:val="pt-BR" w:eastAsia="zxx" w:bidi="ar-SA"/>
        </w:rPr>
        <w:t xml:space="preserve">Merecendo destaque, ainda, as iniciativas já concluídas, realizadas em parceria </w:t>
        <w:tab/>
        <w:t xml:space="preserve">com outras Promotorias de Justiça: </w:t>
      </w:r>
      <w:r>
        <w:rPr>
          <w:rStyle w:val="LinkdaInternet"/>
          <w:rFonts w:eastAsia="Lucida Sans Unicode" w:cs="Arial"/>
          <w:b w:val="false"/>
          <w:bCs w:val="false"/>
          <w:i w:val="false"/>
          <w:iCs w:val="false"/>
          <w:color w:val="00000A"/>
          <w:sz w:val="24"/>
          <w:szCs w:val="24"/>
          <w:u w:val="none" w:color="000000"/>
          <w:lang w:val="pt-BR" w:eastAsia="zxx" w:bidi="ar-SA"/>
        </w:rPr>
        <w:t>Participação em Audiência atinente à alocação de detentos e detentas trans nos presídios do Estado de Sergipe – feito em curso na 4ª Promotoria de Justiça do Cidadão, Participação em Audiência atinente à abordagem de pessoas trans por profissionais da segurança pública no Estado de Sergipe – feito em curso na Promotoria de Justiça do Controle Externo da atividade policial, Tratativas referentes à implantação e funcionamento do Ambulatório Trans – Procedimento em curso, Atuação no Projeto Carne Saudável, projeto este desenvolvido pela Coordenadoria Geral do MPSE, que consiste na fiscalização realizada em matadouros e feiras livres da capital e do interior do Estado.</w:t>
      </w:r>
    </w:p>
    <w:p>
      <w:pPr>
        <w:pStyle w:val="Normal"/>
        <w:tabs>
          <w:tab w:val="left" w:pos="570" w:leader="none"/>
        </w:tabs>
        <w:bidi w:val="0"/>
        <w:spacing w:lineRule="auto" w:line="360"/>
        <w:ind w:left="0" w:right="0" w:firstLine="567"/>
        <w:jc w:val="both"/>
        <w:rPr>
          <w:rStyle w:val="LinkdaInternet"/>
          <w:rFonts w:ascii="Times New Roman" w:hAnsi="Times New Roman" w:eastAsia="Lucida Sans Unicode" w:cs="Arial"/>
          <w:b w:val="false"/>
          <w:b w:val="false"/>
          <w:bCs w:val="false"/>
          <w:i w:val="false"/>
          <w:i w:val="false"/>
          <w:iCs w:val="false"/>
          <w:color w:val="00000A"/>
          <w:sz w:val="24"/>
          <w:szCs w:val="24"/>
          <w:u w:val="none" w:color="000000"/>
          <w:lang w:val="pt-BR" w:eastAsia="zxx" w:bidi="ar-SA"/>
        </w:rPr>
      </w:pPr>
      <w:r>
        <w:rPr>
          <w:rFonts w:eastAsia="Lucida Sans Unicode" w:cs="Arial"/>
          <w:b w:val="false"/>
          <w:bCs w:val="false"/>
          <w:i w:val="false"/>
          <w:iCs w:val="false"/>
          <w:color w:val="00000A"/>
          <w:sz w:val="24"/>
          <w:szCs w:val="24"/>
          <w:u w:val="none" w:color="000000"/>
          <w:lang w:val="pt-BR" w:eastAsia="zxx" w:bidi="ar-SA"/>
        </w:rPr>
      </w:r>
    </w:p>
    <w:p>
      <w:pPr>
        <w:pStyle w:val="Normal"/>
        <w:widowControl/>
        <w:tabs>
          <w:tab w:val="left" w:pos="555" w:leader="none"/>
        </w:tabs>
        <w:suppressAutoHyphens w:val="false"/>
        <w:bidi w:val="0"/>
        <w:spacing w:lineRule="auto" w:line="360"/>
        <w:ind w:left="0" w:right="0" w:firstLine="567"/>
        <w:jc w:val="both"/>
        <w:rPr>
          <w:rFonts w:ascii="Times New Roman" w:hAnsi="Times New Roman" w:cs="Times New Roman"/>
          <w:b/>
          <w:b/>
          <w:bCs/>
          <w:color w:val="000000"/>
          <w:sz w:val="24"/>
          <w:szCs w:val="24"/>
        </w:rPr>
      </w:pPr>
      <w:r>
        <w:rPr>
          <w:rStyle w:val="LinkdaInternet"/>
          <w:rFonts w:eastAsia="Times New Roman" w:cs="Times New Roman"/>
          <w:b/>
          <w:bCs/>
          <w:i w:val="false"/>
          <w:iCs w:val="false"/>
          <w:color w:val="00000A"/>
          <w:sz w:val="24"/>
          <w:szCs w:val="24"/>
          <w:u w:val="none" w:color="000000"/>
          <w:lang w:val="pt-BR" w:eastAsia="ar-SA" w:bidi="zxx"/>
        </w:rPr>
        <w:t>Diante do que ficou registrado na presente Correição Ordinária, faz-se neces</w:t>
        <w:tab/>
        <w:t>sário apenas</w:t>
      </w:r>
      <w:r>
        <w:rPr>
          <w:rStyle w:val="LinkdaInternet"/>
          <w:rFonts w:eastAsia="Lucida Sans Unicode" w:cs="Times New Roman"/>
          <w:b/>
          <w:bCs/>
          <w:i w:val="false"/>
          <w:iCs w:val="false"/>
          <w:color w:val="00000A"/>
          <w:sz w:val="24"/>
          <w:szCs w:val="24"/>
          <w:u w:val="none" w:color="000000"/>
          <w:lang w:val="pt-BR" w:eastAsia="zxx" w:bidi="ar-SA"/>
        </w:rPr>
        <w:t xml:space="preserve"> que sejam registrados, em livro próprio, os atendimentos realizados ao público externo (partes/advogados/comunidades), nos termos do art. 42, II, k, do Regimento Interno da Corregedoria-Geral (Resolução CPJ nº 005/2014).</w:t>
      </w:r>
    </w:p>
    <w:p>
      <w:pPr>
        <w:pStyle w:val="Normal"/>
        <w:bidi w:val="0"/>
        <w:spacing w:lineRule="auto" w:line="360"/>
        <w:ind w:left="17" w:right="0" w:hanging="0"/>
        <w:jc w:val="both"/>
        <w:rPr/>
      </w:pPr>
      <w:r>
        <w:rPr/>
      </w:r>
    </w:p>
    <w:p>
      <w:pPr>
        <w:pStyle w:val="Normal"/>
        <w:bidi w:val="0"/>
        <w:spacing w:lineRule="auto" w:line="360"/>
        <w:ind w:left="17" w:right="0" w:hanging="0"/>
        <w:jc w:val="both"/>
        <w:rPr/>
      </w:pPr>
      <w:r>
        <w:rPr>
          <w:rStyle w:val="LinkdaInternet"/>
          <w:rFonts w:eastAsia="Lucida Sans Unicode" w:cs="Times New Roman"/>
          <w:b w:val="false"/>
          <w:bCs w:val="false"/>
          <w:i w:val="false"/>
          <w:iCs w:val="false"/>
          <w:color w:val="00000A"/>
          <w:sz w:val="24"/>
          <w:szCs w:val="24"/>
          <w:u w:val="none" w:color="000000"/>
          <w:lang w:val="pt-BR" w:eastAsia="zxx" w:bidi="ar-SA"/>
        </w:rPr>
        <w:tab/>
        <w:tab/>
      </w:r>
      <w:r>
        <w:rPr>
          <w:rStyle w:val="LinkdaInternet"/>
          <w:rFonts w:eastAsia="Lucida Sans Unicode" w:cs="Times New Roman"/>
          <w:b/>
          <w:bCs/>
          <w:i w:val="false"/>
          <w:iCs w:val="false"/>
          <w:color w:val="00000A"/>
          <w:sz w:val="24"/>
          <w:szCs w:val="24"/>
          <w:u w:val="none" w:color="000000"/>
          <w:lang w:val="pt-BR" w:eastAsia="zxx" w:bidi="ar-SA"/>
        </w:rPr>
        <w:t>CONCEITO – Art. 74 – Resolução nº 005/2014 – CPJ</w:t>
      </w:r>
    </w:p>
    <w:p>
      <w:pPr>
        <w:pStyle w:val="Normal"/>
        <w:jc w:val="center"/>
        <w:rPr>
          <w:rFonts w:cs="Times New Roman"/>
          <w:b/>
          <w:b/>
          <w:bCs/>
          <w:color w:val="00000A"/>
          <w:sz w:val="24"/>
          <w:szCs w:val="24"/>
        </w:rPr>
      </w:pPr>
      <w:r>
        <w:rPr>
          <w:rFonts w:cs="Times New Roman"/>
          <w:b/>
          <w:bCs/>
          <w:color w:val="00000A"/>
          <w:sz w:val="24"/>
          <w:szCs w:val="24"/>
        </w:rPr>
      </w:r>
    </w:p>
    <w:p>
      <w:pPr>
        <w:pStyle w:val="Normal"/>
        <w:jc w:val="both"/>
        <w:rPr>
          <w:rFonts w:cs="Times New Roman"/>
          <w:b/>
          <w:b/>
          <w:bCs/>
          <w:color w:val="00000A"/>
          <w:sz w:val="24"/>
          <w:szCs w:val="24"/>
        </w:rPr>
      </w:pPr>
      <w:r>
        <w:rPr>
          <w:rFonts w:cs="Times New Roman"/>
          <w:b/>
          <w:bCs/>
          <w:color w:val="00000A"/>
          <w:sz w:val="24"/>
          <w:szCs w:val="24"/>
        </w:rPr>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1. Forma e qualidade de redação das peças processuais analisadas: Não se aplica</w:t>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2. Desempenho Atividade Judicial: Não se aplica</w:t>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3. Desempenho Atividade Extrajudicial: Não se aplica</w:t>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4. Desempenho Utilização dos Sistemas: Não se aplica</w:t>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t>5. Avaliação Qualitativa: ÓTIMO – ITEM 6</w:t>
      </w:r>
    </w:p>
    <w:p>
      <w:pPr>
        <w:pStyle w:val="Normal"/>
        <w:jc w:val="both"/>
        <w:rPr>
          <w:rFonts w:eastAsia="Lucida Sans Unicode" w:cs="Times New Roman"/>
          <w:color w:val="00000A"/>
          <w:sz w:val="24"/>
          <w:szCs w:val="24"/>
          <w:lang w:val="pt-BR" w:eastAsia="zxx" w:bidi="zxx"/>
        </w:rPr>
      </w:pPr>
      <w:r>
        <w:rPr>
          <w:rFonts w:eastAsia="Lucida Sans Unicode" w:cs="Times New Roman"/>
          <w:color w:val="00000A"/>
          <w:sz w:val="24"/>
          <w:szCs w:val="24"/>
          <w:lang w:val="pt-BR" w:eastAsia="zxx" w:bidi="zxx"/>
        </w:rPr>
      </w:r>
    </w:p>
    <w:p>
      <w:pPr>
        <w:pStyle w:val="Normal"/>
        <w:jc w:val="both"/>
        <w:rPr>
          <w:rFonts w:eastAsia="Lucida Sans Unicode" w:cs="Times New Roman"/>
          <w:b/>
          <w:b/>
          <w:bCs/>
          <w:color w:val="00000A"/>
          <w:sz w:val="24"/>
          <w:szCs w:val="24"/>
          <w:lang w:val="pt-BR" w:eastAsia="zxx" w:bidi="zxx"/>
        </w:rPr>
      </w:pPr>
      <w:r>
        <w:rPr>
          <w:rFonts w:eastAsia="Lucida Sans Unicode" w:cs="Times New Roman"/>
          <w:b/>
          <w:bCs/>
          <w:color w:val="00000A"/>
          <w:sz w:val="24"/>
          <w:szCs w:val="24"/>
          <w:lang w:val="pt-BR" w:eastAsia="zxx" w:bidi="zxx"/>
        </w:rPr>
      </w:r>
    </w:p>
    <w:p>
      <w:pPr>
        <w:pStyle w:val="Normal"/>
        <w:jc w:val="center"/>
        <w:rPr>
          <w:rFonts w:eastAsia="Lucida Sans Unicode" w:cs="Times New Roman"/>
          <w:b/>
          <w:b/>
          <w:bCs/>
          <w:color w:val="00000A"/>
          <w:sz w:val="24"/>
          <w:szCs w:val="24"/>
          <w:lang w:val="pt-BR" w:eastAsia="zxx" w:bidi="zxx"/>
        </w:rPr>
      </w:pPr>
      <w:r>
        <w:rPr>
          <w:rFonts w:eastAsia="Lucida Sans Unicode" w:cs="Times New Roman"/>
          <w:b/>
          <w:bCs/>
          <w:color w:val="00000A"/>
          <w:sz w:val="24"/>
          <w:szCs w:val="24"/>
          <w:lang w:val="pt-BR" w:eastAsia="zxx" w:bidi="zxx"/>
        </w:rPr>
        <w:t>CONCEITO GERAL: ÓTIMO</w:t>
      </w:r>
    </w:p>
    <w:p>
      <w:pPr>
        <w:pStyle w:val="Normal"/>
        <w:jc w:val="both"/>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jc w:val="center"/>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jc w:val="center"/>
        <w:rPr>
          <w:rFonts w:eastAsia="Lucida Sans Unicode" w:cs="Tahoma"/>
          <w:b/>
          <w:b/>
          <w:bCs/>
          <w:color w:val="00000A"/>
          <w:sz w:val="24"/>
          <w:szCs w:val="24"/>
          <w:lang w:val="pt-BR" w:eastAsia="zxx" w:bidi="zxx"/>
        </w:rPr>
      </w:pPr>
      <w:r>
        <w:rPr>
          <w:rFonts w:eastAsia="Lucida Sans Unicode" w:cs="Tahoma"/>
          <w:b/>
          <w:bCs/>
          <w:color w:val="00000A"/>
          <w:sz w:val="24"/>
          <w:szCs w:val="24"/>
          <w:lang w:val="pt-BR" w:eastAsia="zxx" w:bidi="zxx"/>
        </w:rPr>
      </w:r>
    </w:p>
    <w:p>
      <w:pPr>
        <w:pStyle w:val="Normal"/>
        <w:widowControl w:val="false"/>
        <w:suppressLineNumbers/>
        <w:tabs>
          <w:tab w:val="left" w:pos="570" w:leader="none"/>
        </w:tabs>
        <w:suppressAutoHyphens w:val="true"/>
        <w:bidi w:val="0"/>
        <w:spacing w:lineRule="auto" w:line="360"/>
        <w:ind w:left="0" w:right="0" w:firstLine="567"/>
        <w:jc w:val="both"/>
        <w:rPr/>
      </w:pPr>
      <w:r>
        <w:rPr>
          <w:rStyle w:val="LinkdaInternet"/>
          <w:rFonts w:eastAsia="Lucida Sans Unicode" w:cs="Times New Roman"/>
          <w:b w:val="false"/>
          <w:bCs w:val="false"/>
          <w:i w:val="false"/>
          <w:iCs w:val="false"/>
          <w:color w:val="00000A"/>
          <w:sz w:val="24"/>
          <w:szCs w:val="24"/>
          <w:u w:val="none" w:color="000000"/>
          <w:lang w:val="pt-BR" w:eastAsia="zxx" w:bidi="ar-SA"/>
        </w:rPr>
        <w:t xml:space="preserve">Pelo exposto, determino o encaminhamento de cópia deste relatório para </w:t>
        <w:tab/>
        <w:t xml:space="preserve">conhecimento do Promotor de Justiça interessado para, querendo, manifestar-se sobre seu teor, no prazo de 10 (dez) dias e, após, encaminhe-se, para conhecimento, ao Egrégio Conselho Superior do Ministério Público, </w:t>
      </w:r>
      <w:r>
        <w:rPr>
          <w:rStyle w:val="LinkdaInternet"/>
          <w:rFonts w:eastAsia="Lucida Sans Unicode" w:cs="Times New Roman"/>
          <w:b w:val="false"/>
          <w:bCs w:val="false"/>
          <w:i w:val="false"/>
          <w:iCs w:val="false"/>
          <w:color w:val="00000A"/>
          <w:sz w:val="24"/>
          <w:szCs w:val="24"/>
          <w:u w:val="none" w:color="000000"/>
          <w:lang w:val="pt-BR" w:eastAsia="zxx" w:bidi="zxx"/>
        </w:rPr>
        <w:t>nos termos do art. 126 da Lei Complementar Estadual 02/90, do art. 5º, § 2º, da Resolução nº. 149 – CNMP, arts. 10, XI e 85 do Regimento Interno do Conselho Superior do Ministério Público de Sergipe, e art. 64 do Regimento Interno da Corregedoria-Geral.</w:t>
      </w:r>
    </w:p>
    <w:p>
      <w:pPr>
        <w:pStyle w:val="Normal"/>
        <w:spacing w:lineRule="auto" w:line="360"/>
        <w:ind w:left="0" w:right="0" w:firstLine="567"/>
        <w:jc w:val="both"/>
        <w:rPr/>
      </w:pPr>
      <w:r>
        <w:rPr/>
      </w:r>
    </w:p>
    <w:p>
      <w:pPr>
        <w:pStyle w:val="Normal"/>
        <w:tabs>
          <w:tab w:val="left" w:pos="570" w:leader="none"/>
        </w:tabs>
        <w:spacing w:lineRule="auto" w:line="360"/>
        <w:ind w:left="0" w:right="0" w:firstLine="567"/>
        <w:jc w:val="both"/>
        <w:rPr/>
      </w:pPr>
      <w:r>
        <w:rPr>
          <w:rFonts w:cs="Times New Roman"/>
        </w:rPr>
        <w:t xml:space="preserve">Ressalta-se, por fim, que os trabalhos correcionais verificam a situação da unidade </w:t>
        <w:tab/>
        <w:t>ministerial num determinado momento, e</w:t>
      </w:r>
      <w:r>
        <w:rPr>
          <w:rFonts w:cs="Times New Roman"/>
          <w:lang w:bidi="zxx"/>
        </w:rPr>
        <w:t xml:space="preserve"> que, mesmo após a Correição, os Promotores de Justiça devem manter os serviços da unidade em dia e organizados.</w:t>
      </w:r>
    </w:p>
    <w:p>
      <w:pPr>
        <w:pStyle w:val="Normal"/>
        <w:spacing w:lineRule="auto" w:line="360"/>
        <w:ind w:left="0" w:right="0" w:firstLine="567"/>
        <w:jc w:val="both"/>
        <w:rPr>
          <w:rFonts w:cs="Times New Roman"/>
        </w:rPr>
      </w:pPr>
      <w:r>
        <w:rPr>
          <w:rFonts w:cs="Times New Roman"/>
        </w:rPr>
      </w:r>
    </w:p>
    <w:p>
      <w:pPr>
        <w:pStyle w:val="Normal"/>
        <w:widowControl w:val="false"/>
        <w:suppressLineNumbers/>
        <w:tabs>
          <w:tab w:val="left" w:pos="570" w:leader="none"/>
        </w:tabs>
        <w:suppressAutoHyphens w:val="true"/>
        <w:bidi w:val="0"/>
        <w:spacing w:lineRule="auto" w:line="360"/>
        <w:ind w:left="0" w:right="0" w:firstLine="567"/>
        <w:jc w:val="both"/>
        <w:rPr/>
      </w:pPr>
      <w:r>
        <w:rPr>
          <w:rStyle w:val="LinkdaInternet"/>
          <w:rFonts w:eastAsia="Lucida Sans Unicode" w:cs="Times New Roman"/>
          <w:b w:val="false"/>
          <w:bCs w:val="false"/>
          <w:i w:val="false"/>
          <w:iCs w:val="false"/>
          <w:color w:val="00000A"/>
          <w:sz w:val="24"/>
          <w:szCs w:val="24"/>
          <w:u w:val="none" w:color="000000"/>
          <w:lang w:val="pt-BR" w:eastAsia="zxx" w:bidi="zxx"/>
        </w:rPr>
        <w:t>Considerando que não foram observadas pendências durante a correição</w:t>
      </w:r>
      <w:r>
        <w:rPr>
          <w:rStyle w:val="LinkdaInternet"/>
          <w:rFonts w:eastAsia="Times New Roman" w:cs="Times New Roman"/>
          <w:b w:val="false"/>
          <w:bCs w:val="false"/>
          <w:i w:val="false"/>
          <w:iCs w:val="false"/>
          <w:color w:val="00000A"/>
          <w:sz w:val="24"/>
          <w:szCs w:val="24"/>
          <w:u w:val="none" w:color="000000"/>
          <w:lang w:val="pt-BR" w:eastAsia="zh-CN" w:bidi="zxx"/>
        </w:rPr>
        <w:t xml:space="preserve">, </w:t>
      </w:r>
      <w:r>
        <w:rPr>
          <w:rStyle w:val="LinkdaInternet"/>
          <w:rFonts w:eastAsia="Lucida Sans Unicode" w:cs="Times New Roman"/>
          <w:b w:val="false"/>
          <w:bCs w:val="false"/>
          <w:i w:val="false"/>
          <w:iCs w:val="false"/>
          <w:color w:val="00000A"/>
          <w:sz w:val="24"/>
          <w:szCs w:val="24"/>
          <w:u w:val="none" w:color="000000"/>
          <w:lang w:val="pt-BR" w:eastAsia="zxx" w:bidi="zxx"/>
        </w:rPr>
        <w:t xml:space="preserve">passado </w:t>
        <w:tab/>
        <w:t xml:space="preserve">o prazo de resposta do Promotor ao relatório e após a apreciação pelo CSMP, </w:t>
      </w:r>
    </w:p>
    <w:p>
      <w:pPr>
        <w:pStyle w:val="Normal"/>
        <w:widowControl w:val="false"/>
        <w:suppressLineNumbers/>
        <w:tabs>
          <w:tab w:val="left" w:pos="570" w:leader="none"/>
        </w:tabs>
        <w:suppressAutoHyphens w:val="true"/>
        <w:bidi w:val="0"/>
        <w:spacing w:lineRule="auto" w:line="360"/>
        <w:ind w:left="0" w:right="0" w:firstLine="567"/>
        <w:jc w:val="both"/>
        <w:rPr>
          <w:rStyle w:val="LinkdaInternet"/>
          <w:rFonts w:eastAsia="Lucida Sans Unicode" w:cs="Times New Roman"/>
          <w:b w:val="false"/>
          <w:b w:val="false"/>
          <w:bCs w:val="false"/>
          <w:i w:val="false"/>
          <w:i w:val="false"/>
          <w:iCs w:val="false"/>
          <w:color w:val="00000A"/>
          <w:sz w:val="24"/>
          <w:szCs w:val="24"/>
          <w:u w:val="none" w:color="000000"/>
          <w:lang w:val="pt-BR" w:eastAsia="zxx" w:bidi="zxx"/>
        </w:rPr>
      </w:pPr>
      <w:r>
        <w:rPr>
          <w:rFonts w:eastAsia="Lucida Sans Unicode" w:cs="Times New Roman"/>
          <w:b w:val="false"/>
          <w:bCs w:val="false"/>
          <w:i w:val="false"/>
          <w:iCs w:val="false"/>
          <w:color w:val="00000A"/>
          <w:sz w:val="24"/>
          <w:szCs w:val="24"/>
          <w:u w:val="none" w:color="000000"/>
          <w:lang w:val="pt-BR" w:eastAsia="zxx" w:bidi="zxx"/>
        </w:rPr>
      </w:r>
    </w:p>
    <w:p>
      <w:pPr>
        <w:pStyle w:val="Normal"/>
        <w:widowControl w:val="false"/>
        <w:suppressLineNumbers/>
        <w:tabs>
          <w:tab w:val="left" w:pos="570" w:leader="none"/>
        </w:tabs>
        <w:suppressAutoHyphens w:val="true"/>
        <w:bidi w:val="0"/>
        <w:spacing w:lineRule="auto" w:line="360"/>
        <w:ind w:left="0" w:right="0" w:firstLine="567"/>
        <w:jc w:val="both"/>
        <w:rPr/>
      </w:pPr>
      <w:r>
        <w:rPr>
          <w:rStyle w:val="LinkdaInternet"/>
          <w:rFonts w:eastAsia="Lucida Sans Unicode" w:cs="Times New Roman"/>
          <w:b w:val="false"/>
          <w:bCs w:val="false"/>
          <w:i w:val="false"/>
          <w:iCs w:val="false"/>
          <w:color w:val="00000A"/>
          <w:sz w:val="24"/>
          <w:szCs w:val="24"/>
          <w:u w:val="none" w:color="000000"/>
          <w:lang w:val="pt-BR" w:eastAsia="zxx" w:bidi="zxx"/>
        </w:rPr>
        <w:t>Arquive-se.</w:t>
      </w:r>
    </w:p>
    <w:p>
      <w:pPr>
        <w:pStyle w:val="Normal"/>
        <w:spacing w:lineRule="auto" w:line="360"/>
        <w:ind w:left="15" w:right="0" w:hanging="0"/>
        <w:jc w:val="center"/>
        <w:rPr/>
      </w:pPr>
      <w:r>
        <w:rPr/>
      </w:r>
    </w:p>
    <w:p>
      <w:pPr>
        <w:pStyle w:val="Normal"/>
        <w:jc w:val="center"/>
        <w:rPr>
          <w:rFonts w:eastAsia="TimesNewRomanPS-BoldMT" w:cs="Times New Roman"/>
          <w:b w:val="false"/>
          <w:b w:val="false"/>
          <w:bCs w:val="false"/>
          <w:i w:val="false"/>
          <w:i w:val="false"/>
          <w:iCs w:val="false"/>
          <w:color w:val="00000A"/>
          <w:sz w:val="24"/>
          <w:szCs w:val="24"/>
          <w:lang w:val="pt-BR" w:eastAsia="en-US" w:bidi="hi-IN"/>
        </w:rPr>
      </w:pPr>
      <w:r>
        <w:rPr>
          <w:rFonts w:eastAsia="TimesNewRomanPS-BoldMT" w:cs="Times New Roman"/>
          <w:b w:val="false"/>
          <w:bCs w:val="false"/>
          <w:i w:val="false"/>
          <w:iCs w:val="false"/>
          <w:color w:val="00000A"/>
          <w:sz w:val="24"/>
          <w:szCs w:val="24"/>
          <w:lang w:val="pt-BR" w:eastAsia="en-US" w:bidi="hi-IN"/>
        </w:rPr>
      </w:r>
    </w:p>
    <w:p>
      <w:pPr>
        <w:pStyle w:val="Normal"/>
        <w:jc w:val="center"/>
        <w:rPr>
          <w:rFonts w:eastAsia="TimesNewRomanPS-BoldMT" w:cs="Times New Roman"/>
          <w:b w:val="false"/>
          <w:b w:val="false"/>
          <w:bCs w:val="false"/>
          <w:i w:val="false"/>
          <w:i w:val="false"/>
          <w:iCs w:val="false"/>
          <w:color w:val="00000A"/>
          <w:sz w:val="24"/>
          <w:szCs w:val="24"/>
          <w:lang w:val="pt-BR" w:eastAsia="en-US" w:bidi="hi-IN"/>
        </w:rPr>
      </w:pPr>
      <w:r>
        <w:rPr>
          <w:rFonts w:eastAsia="TimesNewRomanPS-BoldMT" w:cs="Times New Roman"/>
          <w:b w:val="false"/>
          <w:bCs w:val="false"/>
          <w:i w:val="false"/>
          <w:iCs w:val="false"/>
          <w:color w:val="00000A"/>
          <w:sz w:val="24"/>
          <w:szCs w:val="24"/>
          <w:lang w:val="pt-BR" w:eastAsia="en-US" w:bidi="hi-IN"/>
        </w:rPr>
        <w:t>Aracaju, 09 de outubro de 2019</w:t>
      </w:r>
    </w:p>
    <w:p>
      <w:pPr>
        <w:pStyle w:val="Normal"/>
        <w:jc w:val="center"/>
        <w:rPr>
          <w:rFonts w:eastAsia="TimesNewRomanPS-BoldMT" w:cs="Times New Roman"/>
          <w:b w:val="false"/>
          <w:b w:val="false"/>
          <w:bCs w:val="false"/>
          <w:i w:val="false"/>
          <w:i w:val="false"/>
          <w:iCs w:val="false"/>
          <w:color w:val="00000A"/>
          <w:sz w:val="24"/>
          <w:szCs w:val="24"/>
          <w:lang w:val="pt-BR" w:eastAsia="en-US" w:bidi="hi-IN"/>
        </w:rPr>
      </w:pPr>
      <w:r>
        <w:rPr>
          <w:rFonts w:eastAsia="TimesNewRomanPS-BoldMT" w:cs="Times New Roman"/>
          <w:b w:val="false"/>
          <w:bCs w:val="false"/>
          <w:i w:val="false"/>
          <w:iCs w:val="false"/>
          <w:color w:val="00000A"/>
          <w:sz w:val="24"/>
          <w:szCs w:val="24"/>
          <w:lang w:val="pt-BR" w:eastAsia="en-US" w:bidi="hi-IN"/>
        </w:rPr>
      </w:r>
    </w:p>
    <w:p>
      <w:pPr>
        <w:pStyle w:val="Normal"/>
        <w:jc w:val="center"/>
        <w:rPr>
          <w:rFonts w:eastAsia="TimesNewRomanPS-BoldMT" w:cs="Times New Roman"/>
          <w:b w:val="false"/>
          <w:b w:val="false"/>
          <w:bCs w:val="false"/>
          <w:i w:val="false"/>
          <w:i w:val="false"/>
          <w:iCs w:val="false"/>
          <w:color w:val="00000A"/>
          <w:sz w:val="24"/>
          <w:szCs w:val="24"/>
          <w:lang w:val="pt-BR" w:eastAsia="en-US" w:bidi="hi-IN"/>
        </w:rPr>
      </w:pPr>
      <w:r>
        <w:rPr>
          <w:rFonts w:eastAsia="TimesNewRomanPS-BoldMT" w:cs="Times New Roman"/>
          <w:b w:val="false"/>
          <w:bCs w:val="false"/>
          <w:i w:val="false"/>
          <w:iCs w:val="false"/>
          <w:color w:val="00000A"/>
          <w:sz w:val="24"/>
          <w:szCs w:val="24"/>
          <w:lang w:val="pt-BR" w:eastAsia="en-US" w:bidi="hi-IN"/>
        </w:rPr>
      </w:r>
    </w:p>
    <w:p>
      <w:pPr>
        <w:pStyle w:val="Normal"/>
        <w:jc w:val="center"/>
        <w:rPr>
          <w:rFonts w:eastAsia="TimesNewRomanPS-BoldMT" w:cs="Times New Roman"/>
          <w:b/>
          <w:b/>
          <w:bCs/>
          <w:i w:val="false"/>
          <w:i w:val="false"/>
          <w:iCs w:val="false"/>
          <w:color w:val="00000A"/>
          <w:sz w:val="24"/>
          <w:szCs w:val="24"/>
          <w:lang w:val="pt-BR" w:eastAsia="en-US" w:bidi="hi-IN"/>
        </w:rPr>
      </w:pPr>
      <w:r>
        <w:rPr>
          <w:rFonts w:eastAsia="TimesNewRomanPS-BoldMT" w:cs="Times New Roman"/>
          <w:b/>
          <w:bCs/>
          <w:i w:val="false"/>
          <w:iCs w:val="false"/>
          <w:color w:val="00000A"/>
          <w:sz w:val="24"/>
          <w:szCs w:val="24"/>
          <w:lang w:val="pt-BR" w:eastAsia="en-US" w:bidi="hi-IN"/>
        </w:rPr>
      </w:r>
    </w:p>
    <w:p>
      <w:pPr>
        <w:pStyle w:val="Normal"/>
        <w:jc w:val="center"/>
        <w:rPr>
          <w:rFonts w:eastAsia="TimesNewRomanPS-BoldMT" w:cs="Times New Roman"/>
          <w:b/>
          <w:b/>
          <w:bCs/>
          <w:i w:val="false"/>
          <w:i w:val="false"/>
          <w:iCs w:val="false"/>
          <w:color w:val="00000A"/>
          <w:sz w:val="24"/>
          <w:szCs w:val="24"/>
          <w:lang w:val="pt-BR" w:eastAsia="en-US" w:bidi="hi-IN"/>
        </w:rPr>
      </w:pPr>
      <w:r>
        <w:rPr>
          <w:rFonts w:eastAsia="TimesNewRomanPS-BoldMT" w:cs="Times New Roman"/>
          <w:b/>
          <w:bCs/>
          <w:i w:val="false"/>
          <w:iCs w:val="false"/>
          <w:color w:val="00000A"/>
          <w:sz w:val="24"/>
          <w:szCs w:val="24"/>
          <w:lang w:val="pt-BR" w:eastAsia="en-US" w:bidi="hi-IN"/>
        </w:rPr>
        <w:t>Maria Conceição de Figueiredo Rolemberg</w:t>
      </w:r>
    </w:p>
    <w:p>
      <w:pPr>
        <w:pStyle w:val="Normal"/>
        <w:suppressLineNumbers/>
        <w:spacing w:lineRule="auto" w:line="360"/>
        <w:ind w:left="15" w:right="0" w:hanging="0"/>
        <w:jc w:val="center"/>
        <w:rPr>
          <w:rFonts w:eastAsia="TimesNewRomanPS-BoldMT" w:cs="Times New Roman"/>
          <w:b/>
          <w:b/>
          <w:bCs/>
          <w:i w:val="false"/>
          <w:i w:val="false"/>
          <w:iCs w:val="false"/>
          <w:color w:val="00000A"/>
          <w:sz w:val="24"/>
          <w:szCs w:val="24"/>
          <w:lang w:val="pt-BR" w:eastAsia="en-US" w:bidi="hi-IN"/>
        </w:rPr>
      </w:pPr>
      <w:r>
        <w:rPr>
          <w:rFonts w:eastAsia="TimesNewRomanPS-BoldMT" w:cs="Times New Roman"/>
          <w:b/>
          <w:bCs/>
          <w:i w:val="false"/>
          <w:iCs w:val="false"/>
          <w:color w:val="00000A"/>
          <w:sz w:val="24"/>
          <w:szCs w:val="24"/>
          <w:lang w:val="pt-BR" w:eastAsia="en-US" w:bidi="hi-IN"/>
        </w:rPr>
        <w:t>Corregedora Geral do Ministério Público</w:t>
      </w:r>
    </w:p>
    <w:p>
      <w:pPr>
        <w:pStyle w:val="Normal"/>
        <w:jc w:val="both"/>
        <w:rPr/>
      </w:pPr>
      <w:r>
        <w:rPr/>
      </w:r>
    </w:p>
    <w:sectPr>
      <w:headerReference w:type="default" r:id="rId6"/>
      <w:footerReference w:type="default" r:id="rId7"/>
      <w:type w:val="nextPage"/>
      <w:pgSz w:w="11906" w:h="16838"/>
      <w:pgMar w:left="1701" w:right="1701" w:header="720" w:top="777" w:footer="1425" w:bottom="198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Helvetica">
    <w:altName w:val="Arial"/>
    <w:charset w:val="00"/>
    <w:family w:val="roman"/>
    <w:pitch w:val="variable"/>
  </w:font>
  <w:font w:name="Century Gothic">
    <w:charset w:val="00"/>
    <w:family w:val="roman"/>
    <w:pitch w:val="variable"/>
  </w:font>
  <w:font w:name="Garamon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tabs>
        <w:tab w:val="center" w:pos="4252" w:leader="none"/>
        <w:tab w:val="right" w:pos="8478" w:leader="none"/>
        <w:tab w:val="right" w:pos="8504" w:leader="none"/>
      </w:tabs>
      <w:jc w:val="right"/>
      <w:rPr/>
    </w:pPr>
    <w:r>
      <w:rPr/>
      <w:fldChar w:fldCharType="begin"/>
    </w:r>
    <w:r>
      <w:instrText> PAGE </w:instrText>
    </w:r>
    <w:r>
      <w:fldChar w:fldCharType="separate"/>
    </w:r>
    <w:r>
      <w:t>8</w:t>
    </w:r>
    <w: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eRodap"/>
      <w:bidi w:val="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rPr>
        <w:smallCaps w:val="false"/>
        <w:caps w:val="false"/>
        <w:outline w:val="false"/>
        <w:dstrike w:val="false"/>
        <w:strike w:val="false"/>
        <w:vertAlign w:val="baseline"/>
        <w:position w:val="0"/>
        <w:sz w:val="24"/>
        <w:sz w:val="24"/>
        <w:spacing w:val="0"/>
        <w:w w:val="100"/>
        <w:emboss w:val="false"/>
        <w:imprint w:val="false"/>
      </w:rPr>
    </w:lvl>
    <w:lvl w:ilvl="1">
      <w:start w:val="1"/>
      <w:numFmt w:val="decimal"/>
      <w:lvlText w:val="%2."/>
      <w:lvlJc w:val="left"/>
      <w:pPr>
        <w:tabs>
          <w:tab w:val="num" w:pos="720"/>
        </w:tabs>
        <w:ind w:left="1080" w:hanging="360"/>
      </w:pPr>
      <w:rPr>
        <w:smallCaps w:val="false"/>
        <w:caps w:val="false"/>
        <w:outline w:val="false"/>
        <w:dstrike w:val="false"/>
        <w:strike w:val="false"/>
        <w:vertAlign w:val="baseline"/>
        <w:position w:val="0"/>
        <w:sz w:val="24"/>
        <w:sz w:val="24"/>
        <w:spacing w:val="0"/>
        <w:w w:val="100"/>
        <w:emboss w:val="false"/>
        <w:imprint w:val="false"/>
      </w:rPr>
    </w:lvl>
    <w:lvl w:ilvl="2">
      <w:start w:val="1"/>
      <w:numFmt w:val="decimal"/>
      <w:lvlText w:val="%3."/>
      <w:lvlJc w:val="left"/>
      <w:pPr>
        <w:tabs>
          <w:tab w:val="num" w:pos="720"/>
        </w:tabs>
        <w:ind w:left="1440" w:hanging="360"/>
      </w:pPr>
      <w:rPr>
        <w:smallCaps w:val="false"/>
        <w:caps w:val="false"/>
        <w:outline w:val="false"/>
        <w:dstrike w:val="false"/>
        <w:strike w:val="false"/>
        <w:vertAlign w:val="baseline"/>
        <w:position w:val="0"/>
        <w:sz w:val="24"/>
        <w:sz w:val="24"/>
        <w:spacing w:val="0"/>
        <w:w w:val="100"/>
        <w:emboss w:val="false"/>
        <w:imprint w:val="false"/>
      </w:rPr>
    </w:lvl>
    <w:lvl w:ilvl="3">
      <w:start w:val="1"/>
      <w:numFmt w:val="decimal"/>
      <w:lvlText w:val="%4."/>
      <w:lvlJc w:val="left"/>
      <w:pPr>
        <w:tabs>
          <w:tab w:val="num" w:pos="720"/>
        </w:tabs>
        <w:ind w:left="1800" w:hanging="360"/>
      </w:pPr>
      <w:rPr>
        <w:smallCaps w:val="false"/>
        <w:caps w:val="false"/>
        <w:outline w:val="false"/>
        <w:dstrike w:val="false"/>
        <w:strike w:val="false"/>
        <w:vertAlign w:val="baseline"/>
        <w:position w:val="0"/>
        <w:sz w:val="24"/>
        <w:sz w:val="24"/>
        <w:spacing w:val="0"/>
        <w:w w:val="100"/>
        <w:emboss w:val="false"/>
        <w:imprint w:val="false"/>
      </w:rPr>
    </w:lvl>
    <w:lvl w:ilvl="4">
      <w:start w:val="1"/>
      <w:numFmt w:val="decimal"/>
      <w:lvlText w:val="%5."/>
      <w:lvlJc w:val="left"/>
      <w:pPr>
        <w:tabs>
          <w:tab w:val="num" w:pos="720"/>
        </w:tabs>
        <w:ind w:left="2160" w:hanging="360"/>
      </w:pPr>
      <w:rPr>
        <w:smallCaps w:val="false"/>
        <w:caps w:val="false"/>
        <w:outline w:val="false"/>
        <w:dstrike w:val="false"/>
        <w:strike w:val="false"/>
        <w:vertAlign w:val="baseline"/>
        <w:position w:val="0"/>
        <w:sz w:val="24"/>
        <w:sz w:val="24"/>
        <w:spacing w:val="0"/>
        <w:w w:val="100"/>
        <w:emboss w:val="false"/>
        <w:imprint w:val="false"/>
      </w:rPr>
    </w:lvl>
    <w:lvl w:ilvl="5">
      <w:start w:val="1"/>
      <w:numFmt w:val="decimal"/>
      <w:lvlText w:val="%6."/>
      <w:lvlJc w:val="left"/>
      <w:pPr>
        <w:tabs>
          <w:tab w:val="num" w:pos="720"/>
        </w:tabs>
        <w:ind w:left="2520" w:hanging="360"/>
      </w:pPr>
      <w:rPr>
        <w:smallCaps w:val="false"/>
        <w:caps w:val="false"/>
        <w:outline w:val="false"/>
        <w:dstrike w:val="false"/>
        <w:strike w:val="false"/>
        <w:vertAlign w:val="baseline"/>
        <w:position w:val="0"/>
        <w:sz w:val="24"/>
        <w:sz w:val="24"/>
        <w:spacing w:val="0"/>
        <w:w w:val="100"/>
        <w:emboss w:val="false"/>
        <w:imprint w:val="false"/>
      </w:rPr>
    </w:lvl>
    <w:lvl w:ilvl="6">
      <w:start w:val="1"/>
      <w:numFmt w:val="decimal"/>
      <w:lvlText w:val="%7."/>
      <w:lvlJc w:val="left"/>
      <w:pPr>
        <w:tabs>
          <w:tab w:val="num" w:pos="720"/>
        </w:tabs>
        <w:ind w:left="2880" w:hanging="360"/>
      </w:pPr>
      <w:rPr>
        <w:smallCaps w:val="false"/>
        <w:caps w:val="false"/>
        <w:outline w:val="false"/>
        <w:dstrike w:val="false"/>
        <w:strike w:val="false"/>
        <w:vertAlign w:val="baseline"/>
        <w:position w:val="0"/>
        <w:sz w:val="24"/>
        <w:sz w:val="24"/>
        <w:spacing w:val="0"/>
        <w:w w:val="100"/>
        <w:emboss w:val="false"/>
        <w:imprint w:val="false"/>
      </w:rPr>
    </w:lvl>
    <w:lvl w:ilvl="7">
      <w:start w:val="1"/>
      <w:numFmt w:val="decimal"/>
      <w:lvlText w:val="%8."/>
      <w:lvlJc w:val="left"/>
      <w:pPr>
        <w:tabs>
          <w:tab w:val="num" w:pos="720"/>
        </w:tabs>
        <w:ind w:left="3240" w:hanging="360"/>
      </w:pPr>
      <w:rPr>
        <w:smallCaps w:val="false"/>
        <w:caps w:val="false"/>
        <w:outline w:val="false"/>
        <w:dstrike w:val="false"/>
        <w:strike w:val="false"/>
        <w:vertAlign w:val="baseline"/>
        <w:position w:val="0"/>
        <w:sz w:val="24"/>
        <w:sz w:val="24"/>
        <w:spacing w:val="0"/>
        <w:w w:val="100"/>
        <w:emboss w:val="false"/>
        <w:imprint w:val="false"/>
      </w:rPr>
    </w:lvl>
    <w:lvl w:ilvl="8">
      <w:start w:val="1"/>
      <w:numFmt w:val="decimal"/>
      <w:lvlText w:val="%9."/>
      <w:lvlJc w:val="left"/>
      <w:pPr>
        <w:tabs>
          <w:tab w:val="num" w:pos="720"/>
        </w:tabs>
        <w:ind w:left="3600" w:hanging="360"/>
      </w:pPr>
      <w:rPr>
        <w:smallCaps w:val="false"/>
        <w:caps w:val="false"/>
        <w:outline w:val="false"/>
        <w:dstrike w:val="false"/>
        <w:strike w:val="false"/>
        <w:vertAlign w:val="baseline"/>
        <w:position w:val="0"/>
        <w:sz w:val="24"/>
        <w:sz w:val="24"/>
        <w:spacing w:val="0"/>
        <w:w w:val="100"/>
        <w:emboss w:val="false"/>
        <w:imprint w:val="false"/>
      </w:rPr>
    </w:lvl>
  </w:abstractNum>
  <w:abstractNum w:abstractNumId="2">
    <w:lvl w:ilvl="0">
      <w:start w:val="2"/>
      <w:numFmt w:val="decimal"/>
      <w:lvlText w:val="%1)"/>
      <w:lvlJc w:val="left"/>
      <w:pPr>
        <w:ind w:left="720" w:hanging="360"/>
      </w:pPr>
      <w:rPr>
        <w:smallCaps w:val="false"/>
        <w:caps w:val="false"/>
        <w:outline w:val="false"/>
        <w:dstrike w:val="false"/>
        <w:strike w:val="false"/>
        <w:vertAlign w:val="baseline"/>
        <w:position w:val="0"/>
        <w:sz w:val="24"/>
        <w:sz w:val="24"/>
        <w:spacing w:val="0"/>
        <w:w w:val="100"/>
        <w:emboss w:val="false"/>
        <w:imprint w:val="false"/>
      </w:rPr>
    </w:lvl>
    <w:lvl w:ilvl="1">
      <w:start w:val="1"/>
      <w:numFmt w:val="decimal"/>
      <w:lvlText w:val="%2."/>
      <w:lvlJc w:val="left"/>
      <w:pPr>
        <w:tabs>
          <w:tab w:val="num" w:pos="720"/>
        </w:tabs>
        <w:ind w:left="1080" w:hanging="360"/>
      </w:pPr>
      <w:rPr>
        <w:smallCaps w:val="false"/>
        <w:caps w:val="false"/>
        <w:outline w:val="false"/>
        <w:dstrike w:val="false"/>
        <w:strike w:val="false"/>
        <w:vertAlign w:val="baseline"/>
        <w:position w:val="0"/>
        <w:sz w:val="24"/>
        <w:sz w:val="24"/>
        <w:spacing w:val="0"/>
        <w:w w:val="100"/>
        <w:emboss w:val="false"/>
        <w:imprint w:val="false"/>
      </w:rPr>
    </w:lvl>
    <w:lvl w:ilvl="2">
      <w:start w:val="1"/>
      <w:numFmt w:val="decimal"/>
      <w:lvlText w:val="%3."/>
      <w:lvlJc w:val="left"/>
      <w:pPr>
        <w:tabs>
          <w:tab w:val="num" w:pos="720"/>
        </w:tabs>
        <w:ind w:left="1440" w:hanging="360"/>
      </w:pPr>
      <w:rPr>
        <w:smallCaps w:val="false"/>
        <w:caps w:val="false"/>
        <w:outline w:val="false"/>
        <w:dstrike w:val="false"/>
        <w:strike w:val="false"/>
        <w:vertAlign w:val="baseline"/>
        <w:position w:val="0"/>
        <w:sz w:val="24"/>
        <w:sz w:val="24"/>
        <w:spacing w:val="0"/>
        <w:w w:val="100"/>
        <w:emboss w:val="false"/>
        <w:imprint w:val="false"/>
      </w:rPr>
    </w:lvl>
    <w:lvl w:ilvl="3">
      <w:start w:val="1"/>
      <w:numFmt w:val="decimal"/>
      <w:lvlText w:val="%4."/>
      <w:lvlJc w:val="left"/>
      <w:pPr>
        <w:tabs>
          <w:tab w:val="num" w:pos="720"/>
        </w:tabs>
        <w:ind w:left="1800" w:hanging="360"/>
      </w:pPr>
      <w:rPr>
        <w:smallCaps w:val="false"/>
        <w:caps w:val="false"/>
        <w:outline w:val="false"/>
        <w:dstrike w:val="false"/>
        <w:strike w:val="false"/>
        <w:vertAlign w:val="baseline"/>
        <w:position w:val="0"/>
        <w:sz w:val="24"/>
        <w:sz w:val="24"/>
        <w:spacing w:val="0"/>
        <w:w w:val="100"/>
        <w:emboss w:val="false"/>
        <w:imprint w:val="false"/>
      </w:rPr>
    </w:lvl>
    <w:lvl w:ilvl="4">
      <w:start w:val="1"/>
      <w:numFmt w:val="decimal"/>
      <w:lvlText w:val="%5."/>
      <w:lvlJc w:val="left"/>
      <w:pPr>
        <w:tabs>
          <w:tab w:val="num" w:pos="720"/>
        </w:tabs>
        <w:ind w:left="2160" w:hanging="360"/>
      </w:pPr>
      <w:rPr>
        <w:smallCaps w:val="false"/>
        <w:caps w:val="false"/>
        <w:outline w:val="false"/>
        <w:dstrike w:val="false"/>
        <w:strike w:val="false"/>
        <w:vertAlign w:val="baseline"/>
        <w:position w:val="0"/>
        <w:sz w:val="24"/>
        <w:sz w:val="24"/>
        <w:spacing w:val="0"/>
        <w:w w:val="100"/>
        <w:emboss w:val="false"/>
        <w:imprint w:val="false"/>
      </w:rPr>
    </w:lvl>
    <w:lvl w:ilvl="5">
      <w:start w:val="1"/>
      <w:numFmt w:val="decimal"/>
      <w:lvlText w:val="%6."/>
      <w:lvlJc w:val="left"/>
      <w:pPr>
        <w:tabs>
          <w:tab w:val="num" w:pos="720"/>
        </w:tabs>
        <w:ind w:left="2520" w:hanging="360"/>
      </w:pPr>
      <w:rPr>
        <w:smallCaps w:val="false"/>
        <w:caps w:val="false"/>
        <w:outline w:val="false"/>
        <w:dstrike w:val="false"/>
        <w:strike w:val="false"/>
        <w:vertAlign w:val="baseline"/>
        <w:position w:val="0"/>
        <w:sz w:val="24"/>
        <w:sz w:val="24"/>
        <w:spacing w:val="0"/>
        <w:w w:val="100"/>
        <w:emboss w:val="false"/>
        <w:imprint w:val="false"/>
      </w:rPr>
    </w:lvl>
    <w:lvl w:ilvl="6">
      <w:start w:val="1"/>
      <w:numFmt w:val="decimal"/>
      <w:lvlText w:val="%7."/>
      <w:lvlJc w:val="left"/>
      <w:pPr>
        <w:tabs>
          <w:tab w:val="num" w:pos="720"/>
        </w:tabs>
        <w:ind w:left="2880" w:hanging="360"/>
      </w:pPr>
      <w:rPr>
        <w:smallCaps w:val="false"/>
        <w:caps w:val="false"/>
        <w:outline w:val="false"/>
        <w:dstrike w:val="false"/>
        <w:strike w:val="false"/>
        <w:vertAlign w:val="baseline"/>
        <w:position w:val="0"/>
        <w:sz w:val="24"/>
        <w:sz w:val="24"/>
        <w:spacing w:val="0"/>
        <w:w w:val="100"/>
        <w:emboss w:val="false"/>
        <w:imprint w:val="false"/>
      </w:rPr>
    </w:lvl>
    <w:lvl w:ilvl="7">
      <w:start w:val="1"/>
      <w:numFmt w:val="decimal"/>
      <w:lvlText w:val="%8."/>
      <w:lvlJc w:val="left"/>
      <w:pPr>
        <w:tabs>
          <w:tab w:val="num" w:pos="720"/>
        </w:tabs>
        <w:ind w:left="3240" w:hanging="360"/>
      </w:pPr>
      <w:rPr>
        <w:smallCaps w:val="false"/>
        <w:caps w:val="false"/>
        <w:outline w:val="false"/>
        <w:dstrike w:val="false"/>
        <w:strike w:val="false"/>
        <w:vertAlign w:val="baseline"/>
        <w:position w:val="0"/>
        <w:sz w:val="24"/>
        <w:sz w:val="24"/>
        <w:spacing w:val="0"/>
        <w:w w:val="100"/>
        <w:emboss w:val="false"/>
        <w:imprint w:val="false"/>
      </w:rPr>
    </w:lvl>
    <w:lvl w:ilvl="8">
      <w:start w:val="1"/>
      <w:numFmt w:val="decimal"/>
      <w:lvlText w:val="%9."/>
      <w:lvlJc w:val="left"/>
      <w:pPr>
        <w:tabs>
          <w:tab w:val="num" w:pos="720"/>
        </w:tabs>
        <w:ind w:left="3600" w:hanging="360"/>
      </w:pPr>
      <w:rPr>
        <w:smallCaps w:val="false"/>
        <w:caps w:val="false"/>
        <w:outline w:val="false"/>
        <w:dstrike w:val="false"/>
        <w:strike w:val="false"/>
        <w:vertAlign w:val="baseline"/>
        <w:position w:val="0"/>
        <w:sz w:val="24"/>
        <w:sz w:val="24"/>
        <w:spacing w:val="0"/>
        <w:w w:val="100"/>
        <w:emboss w:val="false"/>
        <w:imprint w:val="false"/>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fals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color w:val="00000A"/>
        <w:lang w:val="pt-BR" w:eastAsia="zh-CN" w:bidi="hi-IN"/>
      </w:rPr>
    </w:rPrDefault>
    <w:pPrDefault>
      <w:pPr/>
    </w:pPrDefault>
  </w:docDefaults>
  <w:style w:type="paragraph" w:styleId="Normal" w:default="1">
    <w:name w:val="Normal"/>
    <w:qFormat/>
    <w:pPr>
      <w:keepNext/>
      <w:keepLines w:val="false"/>
      <w:pageBreakBefore w:val="false"/>
      <w:widowControl w:val="false"/>
      <w:shd w:val="clear" w:color="auto" w:fill="auto"/>
      <w:suppressAutoHyphens w:val="true"/>
      <w:bidi w:val="0"/>
      <w:spacing w:lineRule="auto" w:line="240" w:before="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position w:val="0"/>
      <w:sz w:val="24"/>
      <w:sz w:val="24"/>
      <w:szCs w:val="24"/>
      <w:u w:val="none" w:color="000000"/>
      <w:vertAlign w:val="baseline"/>
      <w:lang w:val="pt-PT" w:eastAsia="en-US" w:bidi="ar-SA"/>
    </w:rPr>
  </w:style>
  <w:style w:type="character" w:styleId="DefaultParagraphFont" w:default="1">
    <w:name w:val="Default Paragraph Font"/>
    <w:qFormat/>
    <w:rPr/>
  </w:style>
  <w:style w:type="character" w:styleId="LinkdaInternet">
    <w:name w:val="Link da Internet"/>
    <w:rPr>
      <w:u w:val="single" w:color="00000A"/>
    </w:rPr>
  </w:style>
  <w:style w:type="character" w:styleId="ListLabel1">
    <w:name w:val="ListLabel 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
    <w:name w:val="ListLabel 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
    <w:name w:val="ListLabel 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
    <w:name w:val="ListLabel 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
    <w:name w:val="ListLabel 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
    <w:name w:val="ListLabel 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
    <w:name w:val="ListLabel 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
    <w:name w:val="ListLabel 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
    <w:name w:val="ListLabel 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
    <w:name w:val="ListLabel 1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
    <w:name w:val="ListLabel 1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
    <w:name w:val="ListLabel 1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
    <w:name w:val="ListLabel 1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4">
    <w:name w:val="ListLabel 1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5">
    <w:name w:val="ListLabel 1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6">
    <w:name w:val="ListLabel 1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7">
    <w:name w:val="ListLabel 1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8">
    <w:name w:val="ListLabel 1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9">
    <w:name w:val="ListLabel 1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0">
    <w:name w:val="ListLabel 2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1">
    <w:name w:val="ListLabel 2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2">
    <w:name w:val="ListLabel 2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3">
    <w:name w:val="ListLabel 2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4">
    <w:name w:val="ListLabel 2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5">
    <w:name w:val="ListLabel 2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6">
    <w:name w:val="ListLabel 2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7">
    <w:name w:val="ListLabel 2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8">
    <w:name w:val="ListLabel 2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29">
    <w:name w:val="ListLabel 2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0">
    <w:name w:val="ListLabel 3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1">
    <w:name w:val="ListLabel 3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2">
    <w:name w:val="ListLabel 3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3">
    <w:name w:val="ListLabel 3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4">
    <w:name w:val="ListLabel 3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5">
    <w:name w:val="ListLabel 3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6">
    <w:name w:val="ListLabel 3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7">
    <w:name w:val="ListLabel 3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8">
    <w:name w:val="ListLabel 3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39">
    <w:name w:val="ListLabel 3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0">
    <w:name w:val="ListLabel 4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1">
    <w:name w:val="ListLabel 4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2">
    <w:name w:val="ListLabel 4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3">
    <w:name w:val="ListLabel 4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4">
    <w:name w:val="ListLabel 4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5">
    <w:name w:val="ListLabel 4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6">
    <w:name w:val="ListLabel 4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7">
    <w:name w:val="ListLabel 4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8">
    <w:name w:val="ListLabel 4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49">
    <w:name w:val="ListLabel 4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0">
    <w:name w:val="ListLabel 5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1">
    <w:name w:val="ListLabel 5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2">
    <w:name w:val="ListLabel 5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3">
    <w:name w:val="ListLabel 5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4">
    <w:name w:val="ListLabel 5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5">
    <w:name w:val="ListLabel 5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6">
    <w:name w:val="ListLabel 5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7">
    <w:name w:val="ListLabel 5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8">
    <w:name w:val="ListLabel 5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59">
    <w:name w:val="ListLabel 5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0">
    <w:name w:val="ListLabel 6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1">
    <w:name w:val="ListLabel 6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2">
    <w:name w:val="ListLabel 6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3">
    <w:name w:val="ListLabel 6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4">
    <w:name w:val="ListLabel 6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5">
    <w:name w:val="ListLabel 6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6">
    <w:name w:val="ListLabel 6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7">
    <w:name w:val="ListLabel 6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8">
    <w:name w:val="ListLabel 6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69">
    <w:name w:val="ListLabel 6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0">
    <w:name w:val="ListLabel 7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1">
    <w:name w:val="ListLabel 7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2">
    <w:name w:val="ListLabel 7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3">
    <w:name w:val="ListLabel 7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4">
    <w:name w:val="ListLabel 7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5">
    <w:name w:val="ListLabel 7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6">
    <w:name w:val="ListLabel 7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7">
    <w:name w:val="ListLabel 7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8">
    <w:name w:val="ListLabel 7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79">
    <w:name w:val="ListLabel 7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0">
    <w:name w:val="ListLabel 8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1">
    <w:name w:val="ListLabel 8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2">
    <w:name w:val="ListLabel 8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3">
    <w:name w:val="ListLabel 8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4">
    <w:name w:val="ListLabel 8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5">
    <w:name w:val="ListLabel 8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6">
    <w:name w:val="ListLabel 8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7">
    <w:name w:val="ListLabel 8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8">
    <w:name w:val="ListLabel 8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89">
    <w:name w:val="ListLabel 8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0">
    <w:name w:val="ListLabel 9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1">
    <w:name w:val="ListLabel 9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2">
    <w:name w:val="ListLabel 9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3">
    <w:name w:val="ListLabel 9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4">
    <w:name w:val="ListLabel 9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5">
    <w:name w:val="ListLabel 9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6">
    <w:name w:val="ListLabel 9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7">
    <w:name w:val="ListLabel 9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8">
    <w:name w:val="ListLabel 9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99">
    <w:name w:val="ListLabel 9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0">
    <w:name w:val="ListLabel 10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1">
    <w:name w:val="ListLabel 10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2">
    <w:name w:val="ListLabel 10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3">
    <w:name w:val="ListLabel 10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4">
    <w:name w:val="ListLabel 10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5">
    <w:name w:val="ListLabel 10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6">
    <w:name w:val="ListLabel 10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7">
    <w:name w:val="ListLabel 10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8">
    <w:name w:val="ListLabel 10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09">
    <w:name w:val="ListLabel 10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0">
    <w:name w:val="ListLabel 11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1">
    <w:name w:val="ListLabel 11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2">
    <w:name w:val="ListLabel 11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3">
    <w:name w:val="ListLabel 11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4">
    <w:name w:val="ListLabel 11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5">
    <w:name w:val="ListLabel 11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6">
    <w:name w:val="ListLabel 11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7">
    <w:name w:val="ListLabel 11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8">
    <w:name w:val="ListLabel 11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19">
    <w:name w:val="ListLabel 11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0">
    <w:name w:val="ListLabel 12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1">
    <w:name w:val="ListLabel 12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2">
    <w:name w:val="ListLabel 12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3">
    <w:name w:val="ListLabel 12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4">
    <w:name w:val="ListLabel 12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5">
    <w:name w:val="ListLabel 125"/>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6">
    <w:name w:val="ListLabel 126"/>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7">
    <w:name w:val="ListLabel 127"/>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8">
    <w:name w:val="ListLabel 128"/>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29">
    <w:name w:val="ListLabel 129"/>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0">
    <w:name w:val="ListLabel 130"/>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1">
    <w:name w:val="ListLabel 131"/>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2">
    <w:name w:val="ListLabel 132"/>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3">
    <w:name w:val="ListLabel 133"/>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4">
    <w:name w:val="ListLabel 134"/>
    <w:qFormat/>
    <w:rPr>
      <w:caps w:val="false"/>
      <w:smallCaps w:val="false"/>
      <w:strike w:val="false"/>
      <w:dstrike w:val="false"/>
      <w:outline w:val="false"/>
      <w:emboss w:val="false"/>
      <w:imprint w:val="false"/>
      <w:spacing w:val="0"/>
      <w:w w:val="100"/>
      <w:position w:val="0"/>
      <w:sz w:val="24"/>
      <w:sz w:val="24"/>
      <w:vertAlign w:val="baseline"/>
    </w:rPr>
  </w:style>
  <w:style w:type="character" w:styleId="ListLabel135">
    <w:name w:val="ListLabel 135"/>
    <w:qFormat/>
    <w:rPr>
      <w:caps w:val="false"/>
      <w:smallCaps w:val="false"/>
      <w:strike w:val="false"/>
      <w:dstrike w:val="false"/>
      <w:outline w:val="false"/>
      <w:emboss w:val="false"/>
      <w:imprint w:val="false"/>
      <w:spacing w:val="0"/>
      <w:w w:val="100"/>
      <w:position w:val="0"/>
      <w:sz w:val="24"/>
      <w:sz w:val="24"/>
      <w:vertAlign w:val="baseline"/>
    </w:rPr>
  </w:style>
  <w:style w:type="paragraph" w:styleId="Ttulo">
    <w:name w:val="Título"/>
    <w:basedOn w:val="Normal"/>
    <w:next w:val="Corpodetexto"/>
    <w:qFormat/>
    <w:pPr>
      <w:keepNext/>
      <w:spacing w:before="240" w:after="120"/>
    </w:pPr>
    <w:rPr>
      <w:rFonts w:ascii="Liberation Sans" w:hAnsi="Liberation Sans" w:eastAsia="Microsoft YaHei" w:cs="Lucida Sans"/>
      <w:sz w:val="28"/>
      <w:szCs w:val="28"/>
    </w:rPr>
  </w:style>
  <w:style w:type="paragraph" w:styleId="Corpodetexto">
    <w:name w:val="Body Text"/>
    <w:basedOn w:val="Normal"/>
    <w:pPr>
      <w:spacing w:lineRule="auto" w:line="276" w:before="0" w:after="140"/>
    </w:pPr>
    <w:rPr/>
  </w:style>
  <w:style w:type="paragraph" w:styleId="Lista">
    <w:name w:val="List"/>
    <w:basedOn w:val="Corpode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abealhoeRodap">
    <w:name w:val="Cabeçalho e Rodapé"/>
    <w:qFormat/>
    <w:pPr>
      <w:keepNext/>
      <w:keepLines w:val="false"/>
      <w:pageBreakBefore w:val="false"/>
      <w:widowControl/>
      <w:shd w:val="clear" w:color="auto" w:fill="auto"/>
      <w:tabs>
        <w:tab w:val="right" w:pos="9020" w:leader="none"/>
      </w:tabs>
      <w:suppressAutoHyphens w:val="false"/>
      <w:bidi w:val="0"/>
      <w:spacing w:lineRule="auto" w:line="240" w:before="0" w:after="0"/>
      <w:ind w:left="0" w:right="0" w:hanging="0"/>
      <w:jc w:val="left"/>
    </w:pPr>
    <w:rPr>
      <w:rFonts w:ascii="Helvetica" w:hAnsi="Helvetica"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position w:val="0"/>
      <w:sz w:val="24"/>
      <w:sz w:val="24"/>
      <w:szCs w:val="24"/>
      <w:u w:val="none" w:color="00000A"/>
      <w:vertAlign w:val="baseline"/>
      <w:lang w:val="pt-BR" w:eastAsia="zh-CN" w:bidi="hi-IN"/>
    </w:rPr>
  </w:style>
  <w:style w:type="paragraph" w:styleId="Rodap">
    <w:name w:val="Footer"/>
    <w:basedOn w:val="Normal"/>
    <w:pPr>
      <w:keepNext/>
      <w:keepLines w:val="false"/>
      <w:pageBreakBefore w:val="false"/>
      <w:widowControl w:val="false"/>
      <w:shd w:val="clear" w:color="auto" w:fill="auto"/>
      <w:tabs>
        <w:tab w:val="center" w:pos="4252" w:leader="none"/>
        <w:tab w:val="right" w:pos="8504" w:leader="none"/>
      </w:tabs>
      <w:suppressAutoHyphens w:val="true"/>
      <w:bidi w:val="0"/>
      <w:spacing w:lineRule="auto" w:line="240" w:before="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color w:val="000000"/>
      <w:spacing w:val="0"/>
      <w:position w:val="0"/>
      <w:sz w:val="24"/>
      <w:sz w:val="24"/>
      <w:szCs w:val="24"/>
      <w:u w:val="none" w:color="000000"/>
      <w:vertAlign w:val="baseline"/>
      <w:lang w:val="pt-PT"/>
    </w:rPr>
  </w:style>
  <w:style w:type="paragraph" w:styleId="Contedodetabela">
    <w:name w:val="Conteúdo de tabela"/>
    <w:qFormat/>
    <w:pPr>
      <w:keepNext/>
      <w:keepLines w:val="false"/>
      <w:pageBreakBefore w:val="false"/>
      <w:widowControl w:val="false"/>
      <w:shd w:val="clear" w:color="auto" w:fill="auto"/>
      <w:suppressAutoHyphens w:val="true"/>
      <w:bidi w:val="0"/>
      <w:spacing w:lineRule="auto" w:line="240" w:before="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position w:val="0"/>
      <w:sz w:val="24"/>
      <w:sz w:val="24"/>
      <w:szCs w:val="24"/>
      <w:u w:val="none" w:color="000000"/>
      <w:vertAlign w:val="baseline"/>
      <w:lang w:val="pt-PT" w:eastAsia="zh-CN" w:bidi="hi-IN"/>
    </w:rPr>
  </w:style>
  <w:style w:type="paragraph" w:styleId="Rule">
    <w:name w:val="Rule"/>
    <w:qFormat/>
    <w:pPr>
      <w:keepNext/>
      <w:keepLines w:val="false"/>
      <w:pageBreakBefore w:val="false"/>
      <w:widowControl/>
      <w:pBdr>
        <w:bottom w:val="single" w:sz="4" w:space="0" w:color="808080"/>
      </w:pBdr>
      <w:shd w:val="clear" w:color="auto" w:fill="auto"/>
      <w:suppressAutoHyphens w:val="false"/>
      <w:bidi w:val="0"/>
      <w:spacing w:lineRule="auto" w:line="240" w:before="0" w:after="240"/>
      <w:ind w:left="0" w:right="0" w:hanging="0"/>
      <w:jc w:val="left"/>
    </w:pPr>
    <w:rPr>
      <w:rFonts w:ascii="Century Gothic" w:hAnsi="Century Gothic"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position w:val="0"/>
      <w:sz w:val="16"/>
      <w:sz w:val="16"/>
      <w:szCs w:val="16"/>
      <w:u w:val="none" w:color="000000"/>
      <w:vertAlign w:val="baseline"/>
      <w:lang w:val="pt-PT" w:eastAsia="zh-CN" w:bidi="hi-IN"/>
    </w:rPr>
  </w:style>
  <w:style w:type="paragraph" w:styleId="Contedodatabela">
    <w:name w:val="Conteúdo da tabela"/>
    <w:basedOn w:val="Normal"/>
    <w:qFormat/>
    <w:pPr>
      <w:keepNext/>
      <w:keepLines w:val="false"/>
      <w:pageBreakBefore w:val="false"/>
      <w:widowControl w:val="false"/>
      <w:shd w:val="clear" w:color="auto" w:fill="auto"/>
      <w:suppressAutoHyphens w:val="true"/>
      <w:bidi w:val="0"/>
      <w:spacing w:lineRule="auto" w:line="240" w:before="0" w:after="0"/>
      <w:ind w:left="0" w:right="0" w:hanging="0"/>
      <w:jc w:val="left"/>
    </w:pPr>
    <w:rPr>
      <w:rFonts w:ascii="Times New Roman" w:hAnsi="Times New Roman" w:eastAsia="Arial Unicode MS" w:cs="Arial Unicode MS"/>
      <w:b w:val="false"/>
      <w:bCs w:val="false"/>
      <w:i w:val="false"/>
      <w:iCs w:val="false"/>
      <w:caps w:val="false"/>
      <w:smallCaps w:val="false"/>
      <w:strike w:val="false"/>
      <w:dstrike w:val="false"/>
      <w:outline w:val="false"/>
      <w:color w:val="000000"/>
      <w:spacing w:val="0"/>
      <w:position w:val="0"/>
      <w:sz w:val="24"/>
      <w:sz w:val="24"/>
      <w:szCs w:val="24"/>
      <w:u w:val="none" w:color="000000"/>
      <w:vertAlign w:val="baseline"/>
      <w:lang w:val="pt-PT"/>
    </w:rPr>
  </w:style>
  <w:style w:type="paragraph" w:styleId="Notaderodap">
    <w:name w:val="Footnote Text"/>
    <w:basedOn w:val="Normal"/>
    <w:pPr>
      <w:keepNext/>
      <w:keepLines w:val="false"/>
      <w:pageBreakBefore w:val="false"/>
      <w:widowControl w:val="false"/>
      <w:shd w:val="clear" w:color="auto" w:fill="auto"/>
      <w:suppressAutoHyphens w:val="true"/>
      <w:bidi w:val="0"/>
      <w:spacing w:lineRule="auto" w:line="240" w:before="0" w:after="0"/>
      <w:ind w:left="283" w:right="0" w:hanging="283"/>
      <w:jc w:val="left"/>
    </w:pPr>
    <w:rPr>
      <w:rFonts w:ascii="Times New Roman" w:hAnsi="Times New Roman" w:eastAsia="Arial Unicode MS" w:cs="Arial Unicode MS"/>
      <w:b w:val="false"/>
      <w:bCs w:val="false"/>
      <w:i w:val="false"/>
      <w:iCs w:val="false"/>
      <w:caps w:val="false"/>
      <w:smallCaps w:val="false"/>
      <w:strike w:val="false"/>
      <w:dstrike w:val="false"/>
      <w:outline w:val="false"/>
      <w:color w:val="000000"/>
      <w:spacing w:val="0"/>
      <w:position w:val="0"/>
      <w:sz w:val="20"/>
      <w:sz w:val="20"/>
      <w:szCs w:val="20"/>
      <w:u w:val="none" w:color="000000"/>
      <w:vertAlign w:val="baseline"/>
      <w:lang w:val="pt-PT"/>
    </w:rPr>
  </w:style>
  <w:style w:type="paragraph" w:styleId="Cabealho">
    <w:name w:val="Header"/>
    <w:basedOn w:val="Normal"/>
    <w:pPr/>
    <w:rPr/>
  </w:style>
  <w:style w:type="numbering" w:styleId="NoList" w:default="1">
    <w:name w:val="No List"/>
    <w:qFormat/>
  </w:style>
  <w:style w:type="numbering" w:styleId="EstiloImportado1">
    <w:name w:val="Estilo Importado 1"/>
    <w:qFormat/>
  </w:style>
  <w:style w:type="numbering" w:styleId="EstiloImportado2">
    <w:name w:val="Estilo Importado 2"/>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185</TotalTime>
  <Application>LibreOffice/5.2.4.2$Windows_x86 LibreOffice_project/3d5603e1122f0f102b62521720ab13a38a4e0eb0</Application>
  <Pages>8</Pages>
  <Words>1662</Words>
  <Characters>8864</Characters>
  <CharactersWithSpaces>10865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pt-BR</dc:language>
  <cp:lastModifiedBy/>
  <cp:lastPrinted>2019-10-07T09:06:17Z</cp:lastPrinted>
  <dcterms:modified xsi:type="dcterms:W3CDTF">2019-12-04T10:12:51Z</dcterms:modified>
  <cp:revision>17</cp:revision>
  <dc:subject/>
  <dc:title/>
</cp:coreProperties>
</file>