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000000"/>
          <w:sz w:val="20"/>
          <w:szCs w:val="20"/>
          <w:u w:val="none" w:color="000000"/>
        </w:rPr>
      </w:pPr>
      <w:r>
        <w:rPr/>
        <mc:AlternateContent>
          <mc:Choice Requires="wpg">
            <w:drawing>
              <wp:inline distT="0" distB="0" distL="0" distR="0">
                <wp:extent cx="821690" cy="85217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160" cy="851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821160" cy="85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.pdf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821160" cy="85140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64.65pt;height:67.05pt" coordorigin="0,0" coordsize="1293,1341">
                <v:rect id="shape_0" fillcolor="white" stroked="f" style="position:absolute;left:0;top:0;width:1292;height:1340">
                  <w10:wrap type="none"/>
                  <v:fill o:detectmouseclick="t" type="solid" color2="black"/>
                  <v:stroke color="#3465a4" weight="12600" joinstyle="round" endcap="flat"/>
                </v:rect>
                <v:rect id="shape_0" ID="image.pdf" stroked="f" style="position:absolute;left:0;top:0;width:1292;height:1340">
                  <v:imagedata r:id="rId2" o:detectmouseclick="t"/>
                  <w10:wrap type="none"/>
                  <v:stroke color="#3465a4" weight="12600" joinstyle="round" endcap="flat"/>
                </v:rect>
              </v:group>
            </w:pict>
          </mc:Fallback>
        </mc:AlternateContent>
      </w:r>
    </w:p>
    <w:p>
      <w:pPr>
        <w:pStyle w:val="Normal"/>
        <w:jc w:val="center"/>
        <w:rPr/>
      </w:pPr>
      <w:r>
        <w:rPr>
          <w:b/>
          <w:bCs/>
          <w:color w:val="000000"/>
          <w:sz w:val="20"/>
          <w:szCs w:val="20"/>
          <w:u w:val="none" w:color="000000"/>
          <w:lang w:val="pt-PT"/>
        </w:rPr>
        <w:t>MINISTÉRIO PÚBLICO DO ESTADO DE SERGIPE</w:t>
      </w:r>
    </w:p>
    <w:p>
      <w:pPr>
        <w:pStyle w:val="Normal"/>
        <w:jc w:val="center"/>
        <w:rPr/>
      </w:pPr>
      <w:r>
        <w:rPr>
          <w:b/>
          <w:bCs/>
          <w:color w:val="000000"/>
          <w:sz w:val="20"/>
          <w:szCs w:val="20"/>
          <w:u w:val="none" w:color="000000"/>
          <w:lang w:val="pt-PT"/>
        </w:rPr>
        <w:t>CORREGEDORIA GERAL</w:t>
      </w:r>
    </w:p>
    <w:p>
      <w:pPr>
        <w:pStyle w:val="Normal"/>
        <w:jc w:val="center"/>
        <w:rPr>
          <w:b/>
          <w:b/>
          <w:bCs/>
          <w:color w:val="000000"/>
          <w:sz w:val="20"/>
          <w:szCs w:val="20"/>
          <w:u w:val="none" w:color="000000"/>
        </w:rPr>
      </w:pPr>
      <w:r>
        <w:rPr>
          <w:b/>
          <w:bCs/>
          <w:color w:val="000000"/>
          <w:sz w:val="20"/>
          <w:szCs w:val="20"/>
          <w:u w:val="none" w:color="000000"/>
        </w:rPr>
      </w:r>
    </w:p>
    <w:p>
      <w:pPr>
        <w:pStyle w:val="Normal"/>
        <w:jc w:val="center"/>
        <w:rPr>
          <w:b/>
          <w:b/>
          <w:bCs/>
          <w:color w:val="000000"/>
          <w:sz w:val="20"/>
          <w:szCs w:val="20"/>
          <w:u w:val="none" w:color="000000"/>
        </w:rPr>
      </w:pPr>
      <w:r>
        <w:rPr>
          <w:b/>
          <w:bCs/>
          <w:color w:val="000000"/>
          <w:sz w:val="20"/>
          <w:szCs w:val="20"/>
          <w:u w:val="none" w:color="000000"/>
        </w:rPr>
      </w:r>
    </w:p>
    <w:p>
      <w:pPr>
        <w:pStyle w:val="Normal"/>
        <w:jc w:val="center"/>
        <w:rPr/>
      </w:pPr>
      <w:r>
        <w:rPr>
          <w:rFonts w:eastAsia="Lucida Sans Unicode" w:cs="Times New Roman"/>
          <w:b/>
          <w:bCs/>
          <w:color w:val="00000A"/>
          <w:sz w:val="20"/>
          <w:szCs w:val="20"/>
          <w:u w:val="none" w:color="000000"/>
          <w:lang w:val="pt-BR" w:eastAsia="zxx" w:bidi="ar-SA"/>
        </w:rPr>
        <w:t>RELATÓRIO DE CORREIÇÃO ORDINÁRIA Nº 52</w:t>
      </w:r>
      <w:r>
        <w:rPr>
          <w:b/>
          <w:bCs/>
          <w:color w:val="000000"/>
          <w:sz w:val="20"/>
          <w:szCs w:val="20"/>
          <w:u w:val="none" w:color="000000"/>
          <w:lang w:val="pt-PT"/>
        </w:rPr>
        <w:t>/2019</w:t>
      </w:r>
    </w:p>
    <w:p>
      <w:pPr>
        <w:pStyle w:val="Normal"/>
        <w:jc w:val="center"/>
        <w:rPr>
          <w:b/>
          <w:b/>
          <w:bCs/>
          <w:color w:val="000000"/>
          <w:sz w:val="20"/>
          <w:szCs w:val="20"/>
          <w:u w:val="none" w:color="000000"/>
        </w:rPr>
      </w:pPr>
      <w:r>
        <w:rPr>
          <w:b/>
          <w:bCs/>
          <w:color w:val="000000"/>
          <w:sz w:val="20"/>
          <w:szCs w:val="20"/>
          <w:u w:val="none" w:color="000000"/>
        </w:rPr>
      </w:r>
    </w:p>
    <w:p>
      <w:pPr>
        <w:pStyle w:val="Normal"/>
        <w:jc w:val="center"/>
        <w:rPr>
          <w:b/>
          <w:b/>
          <w:bCs/>
          <w:color w:val="000000"/>
          <w:sz w:val="20"/>
          <w:szCs w:val="20"/>
          <w:u w:val="none" w:color="000000"/>
        </w:rPr>
      </w:pPr>
      <w:r>
        <w:rPr>
          <w:b/>
          <w:bCs/>
          <w:color w:val="000000"/>
          <w:sz w:val="20"/>
          <w:szCs w:val="20"/>
          <w:u w:val="none" w:color="000000"/>
        </w:rPr>
      </w:r>
    </w:p>
    <w:p>
      <w:pPr>
        <w:pStyle w:val="Normal"/>
        <w:spacing w:lineRule="auto" w:line="360"/>
        <w:jc w:val="both"/>
        <w:rPr/>
      </w:pPr>
      <w:r>
        <w:rPr>
          <w:color w:val="000000"/>
          <w:sz w:val="20"/>
          <w:szCs w:val="20"/>
          <w:u w:val="none" w:color="000000"/>
          <w:lang w:val="pt-PT"/>
        </w:rPr>
        <w:t>DATA DA VISITA:</w:t>
      </w:r>
      <w:r>
        <w:rPr>
          <w:b/>
          <w:bCs/>
          <w:color w:val="000000"/>
          <w:sz w:val="20"/>
          <w:szCs w:val="20"/>
          <w:u w:val="none" w:color="000000"/>
          <w:lang w:val="pt-PT"/>
        </w:rPr>
        <w:t xml:space="preserve"> 07/10/2019</w:t>
      </w:r>
    </w:p>
    <w:p>
      <w:pPr>
        <w:pStyle w:val="Normal"/>
        <w:spacing w:lineRule="auto" w:line="360"/>
        <w:jc w:val="both"/>
        <w:rPr/>
      </w:pPr>
      <w:r>
        <w:rPr>
          <w:color w:val="000000"/>
          <w:sz w:val="20"/>
          <w:szCs w:val="20"/>
          <w:u w:val="none" w:color="000000"/>
          <w:lang w:val="pt-PT"/>
        </w:rPr>
        <w:t xml:space="preserve">CENTRO DE APOIO OPERACIONAL/UNIDADE: </w:t>
      </w:r>
      <w:r>
        <w:rPr>
          <w:rFonts w:eastAsia="Lucida Sans Unicode" w:cs="Times New Roman"/>
          <w:color w:val="000000"/>
          <w:sz w:val="20"/>
          <w:szCs w:val="20"/>
          <w:u w:val="none" w:color="000000"/>
          <w:lang w:val="pt-BR" w:eastAsia="zxx" w:bidi="ar-SA"/>
        </w:rPr>
        <w:t>Comissão de Promoção dos Direitos de LGBT/</w:t>
      </w:r>
      <w:r>
        <w:rPr>
          <w:color w:val="000000"/>
          <w:sz w:val="20"/>
          <w:szCs w:val="20"/>
          <w:u w:val="none" w:color="000000"/>
          <w:lang w:val="pt-PT"/>
        </w:rPr>
        <w:t>CAOp Direitos Humanos</w:t>
      </w:r>
    </w:p>
    <w:p>
      <w:pPr>
        <w:pStyle w:val="Normal"/>
        <w:spacing w:lineRule="auto" w:line="360"/>
        <w:jc w:val="both"/>
        <w:rPr/>
      </w:pPr>
      <w:r>
        <w:rPr>
          <w:color w:val="000000"/>
          <w:sz w:val="20"/>
          <w:szCs w:val="20"/>
          <w:u w:val="none" w:color="000000"/>
          <w:lang w:val="pt-PT"/>
        </w:rPr>
        <w:t>PROMOTOR DE JUSTIÇA DIRETOR:</w:t>
      </w:r>
      <w:r>
        <w:rPr>
          <w:b/>
          <w:bCs/>
          <w:color w:val="000000"/>
          <w:sz w:val="20"/>
          <w:szCs w:val="20"/>
          <w:u w:val="none" w:color="000000"/>
          <w:lang w:val="pt-PT"/>
        </w:rPr>
        <w:t xml:space="preserve">  Francisco Ferreira de Lima Júnior</w:t>
      </w:r>
    </w:p>
    <w:p>
      <w:pPr>
        <w:pStyle w:val="Normal"/>
        <w:spacing w:lineRule="auto" w:line="360"/>
        <w:jc w:val="both"/>
        <w:rPr>
          <w:b/>
          <w:b/>
          <w:bCs/>
          <w:color w:val="000000"/>
          <w:sz w:val="20"/>
          <w:szCs w:val="20"/>
          <w:u w:val="none" w:color="000000"/>
        </w:rPr>
      </w:pPr>
      <w:r>
        <w:rPr>
          <w:b/>
          <w:bCs/>
          <w:color w:val="000000"/>
          <w:sz w:val="20"/>
          <w:szCs w:val="20"/>
          <w:u w:val="none" w:color="000000"/>
        </w:rPr>
      </w:r>
    </w:p>
    <w:p>
      <w:pPr>
        <w:pStyle w:val="Normal"/>
        <w:numPr>
          <w:ilvl w:val="0"/>
          <w:numId w:val="1"/>
        </w:numPr>
        <w:jc w:val="both"/>
        <w:rPr>
          <w:lang w:val="pt-PT"/>
        </w:rPr>
      </w:pPr>
      <w:r>
        <w:rPr>
          <w:b/>
          <w:bCs/>
          <w:color w:val="000000"/>
          <w:u w:val="none" w:color="000000"/>
          <w:lang w:val="pt-PT"/>
        </w:rPr>
        <w:t>DADOS PESSOAIS E FUNCIONAIS</w:t>
      </w:r>
    </w:p>
    <w:p>
      <w:pPr>
        <w:pStyle w:val="Normal"/>
        <w:jc w:val="both"/>
        <w:rPr>
          <w:b/>
          <w:b/>
          <w:bCs/>
          <w:color w:val="000000"/>
          <w:u w:val="none" w:color="000000"/>
        </w:rPr>
      </w:pPr>
      <w:r>
        <w:rPr>
          <w:b/>
          <w:bCs/>
          <w:color w:val="000000"/>
          <w:u w:val="none" w:color="000000"/>
        </w:rPr>
      </w:r>
    </w:p>
    <w:tbl>
      <w:tblPr>
        <w:tblW w:w="8516" w:type="dxa"/>
        <w:jc w:val="left"/>
        <w:tblInd w:w="14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78" w:type="dxa"/>
          <w:bottom w:w="80" w:type="dxa"/>
          <w:right w:w="80" w:type="dxa"/>
        </w:tblCellMar>
      </w:tblPr>
      <w:tblGrid>
        <w:gridCol w:w="2610"/>
        <w:gridCol w:w="5905"/>
      </w:tblGrid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1.1 Data do vitaliciamento na carreira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keepNext/>
              <w:keepLines w:val="false"/>
              <w:widowControl w:val="false"/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center"/>
              <w:rPr/>
            </w:pPr>
            <w:r>
              <w:rPr>
                <w:rFonts w:eastAsia="Cambria" w:cs="Cambri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position w:val="0"/>
                <w:sz w:val="20"/>
                <w:sz w:val="20"/>
                <w:szCs w:val="20"/>
                <w:u w:val="none" w:color="000000"/>
                <w:vertAlign w:val="baseline"/>
              </w:rPr>
              <w:t>06/02/2014</w:t>
            </w:r>
          </w:p>
        </w:tc>
      </w:tr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1.2 Data de designação no Centro de Apoio/unidade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keepNext/>
              <w:keepLines w:val="false"/>
              <w:widowControl w:val="false"/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center"/>
              <w:rPr/>
            </w:pPr>
            <w:r>
              <w:rPr>
                <w:rFonts w:eastAsia="Cambria" w:cs="Cambri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position w:val="0"/>
                <w:sz w:val="20"/>
                <w:sz w:val="20"/>
                <w:szCs w:val="20"/>
                <w:u w:val="none" w:color="000000"/>
                <w:vertAlign w:val="baseline"/>
              </w:rPr>
              <w:t>10/06/2019</w:t>
            </w:r>
          </w:p>
        </w:tc>
      </w:tr>
      <w:tr>
        <w:trPr>
          <w:trHeight w:val="21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1.3 Atribuições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1.4 Exerce atribuições como Promotor Eleitoral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Sim (   )      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Não ( 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pt-PT"/>
              </w:rPr>
              <w:t xml:space="preserve">  )</w:t>
            </w:r>
          </w:p>
        </w:tc>
      </w:tr>
      <w:tr>
        <w:trPr>
          <w:trHeight w:val="197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 xml:space="preserve">1.5 Designado(a) para cumular suas atribuições em outra unidade do MP, nos últimos seis meses 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Sim ( 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pt-PT"/>
              </w:rPr>
              <w:t xml:space="preserve">  )      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Não (  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Em que unidade? __</w:t>
            </w:r>
            <w:r>
              <w:rPr>
                <w:sz w:val="20"/>
                <w:szCs w:val="20"/>
                <w:lang w:val="en-US"/>
              </w:rPr>
              <w:t>Promotorias de Justiça de Gararu e Riachão do Dantas (a partir de 02/09), unidades por mim titularizadas. Promotoria de Justiça de Cedro de São João (01 a 20/07).Promotoria de Justiça de Carmópolis (16/04 a 15/05). Promotoria de Justiça de Riachão do Dantas (16 a 28/05)</w:t>
            </w:r>
            <w:r>
              <w:rPr>
                <w:sz w:val="20"/>
                <w:szCs w:val="20"/>
                <w:lang w:val="pt-PT"/>
              </w:rPr>
              <w:t>_____________________</w:t>
            </w:r>
          </w:p>
          <w:p>
            <w:pPr>
              <w:pStyle w:val="Normal"/>
              <w:rPr/>
            </w:pPr>
            <w:r>
              <w:rPr>
                <w:sz w:val="20"/>
                <w:szCs w:val="20"/>
                <w:lang w:val="pt-PT"/>
              </w:rPr>
              <w:t xml:space="preserve">Qual o período/dias da semana? </w:t>
            </w:r>
            <w:r>
              <w:rPr>
                <w:sz w:val="20"/>
                <w:szCs w:val="20"/>
                <w:lang w:val="en-US"/>
              </w:rPr>
              <w:t>Comparecimento ao CAOP às 2as  e 6as.</w:t>
            </w:r>
            <w:r>
              <w:rPr>
                <w:sz w:val="20"/>
                <w:szCs w:val="20"/>
                <w:lang w:val="pt-PT"/>
              </w:rPr>
              <w:t>______________________</w:t>
            </w:r>
          </w:p>
        </w:tc>
      </w:tr>
      <w:tr>
        <w:trPr>
          <w:trHeight w:val="87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1.6 Recebeu colaboração de membro ou de órgão de execução nos últimos seis meses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Sim (   )      Qual? ________________________________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Não ( 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pt-PT"/>
              </w:rPr>
              <w:t xml:space="preserve">  )</w:t>
            </w:r>
          </w:p>
        </w:tc>
      </w:tr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1.7 Reside na Unidade de lotação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Sim ( 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pt-PT"/>
              </w:rPr>
              <w:t xml:space="preserve"> )   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Não (   )</w:t>
            </w:r>
          </w:p>
        </w:tc>
      </w:tr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1.8 Endereço Residencial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keepNext/>
              <w:keepLines w:val="false"/>
              <w:widowControl w:val="false"/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>
                <w:rFonts w:eastAsia="Cambria" w:cs="Cambria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position w:val="0"/>
                <w:sz w:val="24"/>
                <w:sz w:val="20"/>
                <w:szCs w:val="20"/>
                <w:u w:val="none" w:color="000000"/>
                <w:vertAlign w:val="baseline"/>
              </w:rPr>
            </w:pPr>
            <w:r>
              <w:rPr/>
            </w:r>
          </w:p>
          <w:p>
            <w:pPr>
              <w:pStyle w:val="Normal"/>
              <w:widowControl w:val="false"/>
              <w:shd w:val="clear" w:color="auto" w:fill="auto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ambria" w:cs="Cambri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position w:val="0"/>
                <w:sz w:val="20"/>
                <w:sz w:val="20"/>
                <w:szCs w:val="20"/>
                <w:u w:val="none" w:color="000000"/>
                <w:vertAlign w:val="baseline"/>
              </w:rPr>
              <w:t>Aracaju/SE</w:t>
            </w:r>
          </w:p>
        </w:tc>
      </w:tr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 xml:space="preserve">1.9 Autorizado(a) a residir fora da Comarca 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Sim (   )         Portaria de Autorização nº: _________  Data: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Não (  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pt-PT"/>
              </w:rPr>
              <w:t xml:space="preserve"> )</w:t>
            </w:r>
          </w:p>
        </w:tc>
      </w:tr>
      <w:tr>
        <w:trPr>
          <w:trHeight w:val="4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1.10 Exerce o Magistério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Sim (   )         Dados do Estabelecimento e carga horária: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Não ( 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pt-PT"/>
              </w:rPr>
              <w:t xml:space="preserve">  )</w:t>
            </w:r>
          </w:p>
        </w:tc>
      </w:tr>
      <w:tr>
        <w:trPr>
          <w:trHeight w:val="1534" w:hRule="atLeast"/>
        </w:trPr>
        <w:tc>
          <w:tcPr>
            <w:tcW w:w="2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 xml:space="preserve">1.11 </w:t>
            </w:r>
            <w:r>
              <w:rPr>
                <w:b/>
                <w:bCs/>
                <w:sz w:val="18"/>
                <w:szCs w:val="18"/>
                <w:lang w:val="pt-PT"/>
              </w:rPr>
              <w:t>Férias/Licenças/Afastamentos no último ano</w:t>
            </w:r>
          </w:p>
        </w:tc>
        <w:tc>
          <w:tcPr>
            <w:tcW w:w="59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1"/>
                <w:szCs w:val="21"/>
                <w:lang w:val="pt-PT"/>
              </w:rPr>
              <w:t xml:space="preserve">Período de férias do último ano: </w:t>
            </w:r>
            <w:r>
              <w:rPr>
                <w:sz w:val="21"/>
                <w:szCs w:val="21"/>
                <w:lang w:val="en-US"/>
              </w:rPr>
              <w:t>18/03 a 02/04; 17 a 28/06 e 17/09 a 04/10</w:t>
            </w:r>
          </w:p>
          <w:p>
            <w:pPr>
              <w:pStyle w:val="Contedodetabela"/>
              <w:rPr/>
            </w:pPr>
            <w:r>
              <w:rPr>
                <w:sz w:val="21"/>
                <w:szCs w:val="21"/>
                <w:lang w:val="pt-PT"/>
              </w:rPr>
              <w:t xml:space="preserve">Período de licenças do último ano: </w:t>
            </w:r>
            <w:r>
              <w:rPr>
                <w:sz w:val="21"/>
                <w:szCs w:val="21"/>
                <w:lang w:val="en-US"/>
              </w:rPr>
              <w:t>07 e 08/05 (Portaria 824/19. Ação Nacional de Saúde - CNMP).  03 a 06/09 (Portaria 2097/19. Congresso Nacional do MP - Goiânia)</w:t>
            </w:r>
            <w:r>
              <w:rPr>
                <w:sz w:val="21"/>
                <w:szCs w:val="21"/>
                <w:lang w:val="pt-PT"/>
              </w:rPr>
              <w:t>________________________</w:t>
            </w:r>
          </w:p>
          <w:p>
            <w:pPr>
              <w:pStyle w:val="Contedodetabela"/>
              <w:rPr/>
            </w:pPr>
            <w:r>
              <w:rPr>
                <w:sz w:val="21"/>
                <w:szCs w:val="21"/>
                <w:lang w:val="pt-PT"/>
              </w:rPr>
              <w:t>Período de Afastamento do último ano: _____________________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Contedodetabela"/>
        <w:snapToGrid w:val="false"/>
        <w:spacing w:lineRule="auto" w:line="360"/>
        <w:jc w:val="both"/>
        <w:rPr/>
      </w:pPr>
      <w:r>
        <w:rPr>
          <w:b/>
          <w:bCs/>
        </w:rPr>
        <w:t>1.12</w:t>
      </w:r>
      <w:r>
        <w:rPr>
          <w:rFonts w:eastAsia="Times New Roman"/>
          <w:b/>
          <w:bCs/>
        </w:rPr>
        <w:t xml:space="preserve"> </w:t>
      </w:r>
      <w:r>
        <w:rPr>
          <w:b/>
          <w:bCs/>
        </w:rPr>
        <w:t>Observações</w:t>
      </w:r>
      <w:r>
        <w:rPr>
          <w:rFonts w:eastAsia="Times New Roman"/>
          <w:b/>
          <w:bCs/>
        </w:rPr>
        <w:t xml:space="preserve"> da Corregedoria Geral</w:t>
      </w:r>
    </w:p>
    <w:p>
      <w:pPr>
        <w:pStyle w:val="Normal"/>
        <w:tabs>
          <w:tab w:val="left" w:pos="555" w:leader="none"/>
        </w:tabs>
        <w:snapToGrid w:val="false"/>
        <w:spacing w:lineRule="auto" w:line="360"/>
        <w:ind w:left="0" w:right="0" w:firstLine="567"/>
        <w:jc w:val="both"/>
        <w:rPr/>
      </w:pPr>
      <w:r>
        <w:rPr/>
        <w:t xml:space="preserve">As férias foram devidamente comunicadas à Corregedoria Geral, conforme </w:t>
        <w:tab/>
        <w:t>disposto no art. 104 da Lei Complementar nº 02/90.</w:t>
      </w:r>
    </w:p>
    <w:p>
      <w:pPr>
        <w:pStyle w:val="Normal"/>
        <w:jc w:val="both"/>
        <w:rPr/>
      </w:pPr>
      <w:r>
        <w:rPr/>
      </w:r>
    </w:p>
    <w:p>
      <w:pPr>
        <w:pStyle w:val="Normal"/>
        <w:numPr>
          <w:ilvl w:val="0"/>
          <w:numId w:val="2"/>
        </w:numPr>
        <w:jc w:val="both"/>
        <w:rPr>
          <w:lang w:val="pt-PT"/>
        </w:rPr>
      </w:pPr>
      <w:r>
        <w:rPr>
          <w:b/>
          <w:bCs/>
          <w:lang w:val="pt-PT"/>
        </w:rPr>
        <w:t>DADOS DO CAOP/UNIDADE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tbl>
      <w:tblPr>
        <w:tblW w:w="8559" w:type="dxa"/>
        <w:jc w:val="left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78" w:type="dxa"/>
          <w:bottom w:w="80" w:type="dxa"/>
          <w:right w:w="80" w:type="dxa"/>
        </w:tblCellMar>
      </w:tblPr>
      <w:tblGrid>
        <w:gridCol w:w="4050"/>
        <w:gridCol w:w="4508"/>
      </w:tblGrid>
      <w:tr>
        <w:trPr>
          <w:trHeight w:val="65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2.1 Servidores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 </w:t>
            </w:r>
            <w:r>
              <w:rPr>
                <w:sz w:val="20"/>
                <w:szCs w:val="20"/>
                <w:lang w:val="pt-PT"/>
              </w:rPr>
              <w:t>Mariana Moura Rocha - Analista do MPSE – Efetiva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Anna Carla Andrade da Silva – Assessora do coordenador da Divisão de Apoio Administrativo -  Conveniada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Cinthia Magno Santos Leão – Assessora Operacional - Comissionada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José Denílson Macedo Filho - Estagiário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                   </w:t>
            </w:r>
          </w:p>
        </w:tc>
      </w:tr>
      <w:tr>
        <w:trPr>
          <w:trHeight w:val="65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2.2 A estrutura de apoio é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( x  ) Satisfatória      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Insuficiente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Observações:</w:t>
            </w:r>
          </w:p>
        </w:tc>
      </w:tr>
      <w:tr>
        <w:trPr>
          <w:trHeight w:val="65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2.3 As instalações do CAOP/Unidade são adequadas e satisfatórias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Sim (  x )   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Não (   )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Observações: </w:t>
            </w:r>
          </w:p>
        </w:tc>
      </w:tr>
      <w:tr>
        <w:trPr>
          <w:trHeight w:val="43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2.4 Horário de Funcionamento do CAOP/Unidade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 07:00  às 14:00 – Segunda à Sexta</w:t>
            </w:r>
          </w:p>
        </w:tc>
      </w:tr>
      <w:tr>
        <w:trPr>
          <w:trHeight w:val="21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2.5 Dias/Horário de atendimento ao público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 07:00  às 14:00 – Segunda à Sexta</w:t>
            </w:r>
          </w:p>
        </w:tc>
      </w:tr>
      <w:tr>
        <w:trPr>
          <w:trHeight w:val="43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2.6 Quantitativo médio de atendimento ao público semanal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CAOp não promove atendimento direto ao público</w:t>
            </w:r>
          </w:p>
        </w:tc>
      </w:tr>
      <w:tr>
        <w:trPr>
          <w:trHeight w:val="65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2.7 Há registro dos atendimentos realizados ao público externo (partes/advogados/comunidade)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Sim (   )     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Não ( x )</w:t>
            </w:r>
          </w:p>
        </w:tc>
      </w:tr>
      <w:tr>
        <w:trPr>
          <w:trHeight w:val="65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2.8 A internet está funcionando a contento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sz w:val="20"/>
                <w:szCs w:val="20"/>
                <w:lang w:val="pt-PT"/>
              </w:rPr>
              <w:t xml:space="preserve">Sim ( x )      </w:t>
            </w:r>
          </w:p>
          <w:p>
            <w:pPr>
              <w:pStyle w:val="Contedodetabela"/>
              <w:jc w:val="both"/>
              <w:rPr/>
            </w:pPr>
            <w:r>
              <w:rPr>
                <w:sz w:val="20"/>
                <w:szCs w:val="20"/>
                <w:lang w:val="pt-PT"/>
              </w:rPr>
              <w:t>Não (   )</w:t>
            </w:r>
          </w:p>
          <w:p>
            <w:pPr>
              <w:pStyle w:val="Contedodetabela"/>
              <w:jc w:val="both"/>
              <w:rPr/>
            </w:pPr>
            <w:r>
              <w:rPr>
                <w:sz w:val="20"/>
                <w:szCs w:val="20"/>
                <w:lang w:val="pt-PT"/>
              </w:rPr>
              <w:t>Observações:</w:t>
            </w:r>
          </w:p>
        </w:tc>
      </w:tr>
      <w:tr>
        <w:trPr>
          <w:trHeight w:val="549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2.9 Livros/Pastas (físicas ou eletrônicas) existentes no CAOP/Unidade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x )  Ofícios recebidos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x )  Ofícios expedidos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x )   Atos, avisos, instruções normativas, recomendações, portarias e outros normativos do Conselho Nacional do Ministério Público, Procuradoria Geral de Justiça, Corregedoria Geral e Coordenadoria Geral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x  )   Portarias de Procedimento Administrativo Preparatório e Inquérito Civil instaurados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Controle de atendimento ao público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TAC's homologados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Guias do Sistema Arquimedes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Autos de Prisão em Flagrante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x ) Peças Processuais elaboradas na Promotoria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Eleitoral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x ) Livro de carga/protocolo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cópia de preenchimento dos formulários – sistemas do MP e CNMP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(   ) Idepol   (   ) CITT  (   ) Visitas a entidades de acolhimento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(   ) Visitas a Presídios  (   ) Visitas a unidades socioeducativas 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(   ) Disque-100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 xml:space="preserve">(   ) Outros. Especificar: ___________________________________  </w:t>
            </w:r>
          </w:p>
        </w:tc>
      </w:tr>
      <w:tr>
        <w:trPr>
          <w:trHeight w:val="109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2.10 Equipamentos existentes no CAOP/Unidade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quantidade de computadores ( 4  )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quantidade de impressoras ( 1  )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quantidade de scanners (  3 )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quantidade de fax ( 0  )</w:t>
            </w:r>
          </w:p>
          <w:p>
            <w:pPr>
              <w:pStyle w:val="Contedodetabela"/>
              <w:rPr/>
            </w:pPr>
            <w:r>
              <w:rPr>
                <w:sz w:val="20"/>
                <w:szCs w:val="20"/>
                <w:lang w:val="pt-PT"/>
              </w:rPr>
              <w:t>outros equipamentos. Especificar:</w:t>
            </w:r>
          </w:p>
        </w:tc>
      </w:tr>
      <w:tr>
        <w:trPr>
          <w:trHeight w:val="197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2.11 Os Servidores estão aptos a operar os Sistemas do MP/SE e CNMP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 xml:space="preserve">Arquimedes: </w:t>
              <w:tab/>
              <w:t xml:space="preserve">                   Sim (  x  )     Não (    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 xml:space="preserve">Proej: </w:t>
              <w:tab/>
              <w:tab/>
              <w:t xml:space="preserve">                   Sim (  x  )     Não (    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 xml:space="preserve">CITT: </w:t>
              <w:tab/>
              <w:tab/>
              <w:t xml:space="preserve">                   Sim (  x  )     Não (    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IDEPOL:</w:t>
              <w:tab/>
              <w:t xml:space="preserve">                   Sim (     )     Não (  x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MP-Mobile:</w:t>
              <w:tab/>
              <w:t xml:space="preserve">                   Sim (  x  )     Não (   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Disque-100:</w:t>
              <w:tab/>
              <w:t xml:space="preserve">                   Sim (     )     Não (  x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Unidades de Acolhimento:     Sim (     )     Não (  x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Unidades Socioeducativas :   Sim (     )     Não (  x )</w:t>
            </w:r>
          </w:p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Delegacias de Polícia:            Sim (     )     Não (  x  )</w:t>
            </w:r>
          </w:p>
        </w:tc>
      </w:tr>
      <w:tr>
        <w:trPr>
          <w:trHeight w:val="65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 xml:space="preserve">2.12 A unidade, em sua atuação, observa as nomenclaturas e terminologias presentes nas tabelas taxonômicas do CNMP 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(  x  ) Sim    (    ) Não    (     ) Sem atribuição</w:t>
            </w:r>
          </w:p>
        </w:tc>
      </w:tr>
      <w:tr>
        <w:trPr>
          <w:trHeight w:val="874" w:hRule="atLeast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2.13 A unidade, em sua atuação, está cumprindo a sentença proferida pela Corte Interamericana de Direitos Humanos, no caso “Favela Nova Brasília”</w:t>
            </w:r>
          </w:p>
        </w:tc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jc w:val="both"/>
              <w:rPr/>
            </w:pPr>
            <w:r>
              <w:rPr>
                <w:sz w:val="20"/>
                <w:szCs w:val="20"/>
                <w:lang w:val="pt-PT"/>
              </w:rPr>
              <w:t>(    ) Sim    (    ) Não     (  x   ) Sem atribuição</w:t>
            </w:r>
          </w:p>
        </w:tc>
      </w:tr>
    </w:tbl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Contedodetabela"/>
        <w:snapToGrid w:val="false"/>
        <w:jc w:val="both"/>
        <w:rPr/>
      </w:pPr>
      <w:r>
        <w:rPr>
          <w:b/>
          <w:bCs/>
          <w:sz w:val="24"/>
          <w:szCs w:val="24"/>
        </w:rPr>
        <w:t xml:space="preserve">2.14 Observações </w:t>
      </w:r>
      <w:r>
        <w:rPr>
          <w:rFonts w:eastAsia="Lucida Sans Unicode" w:cs="Times New Roman"/>
          <w:b/>
          <w:bCs/>
          <w:color w:val="00000A"/>
          <w:sz w:val="24"/>
          <w:szCs w:val="24"/>
          <w:lang w:val="pt-BR" w:eastAsia="zxx" w:bidi="ar-SA"/>
        </w:rPr>
        <w:t>da Corregedoria</w:t>
      </w:r>
    </w:p>
    <w:p>
      <w:pPr>
        <w:pStyle w:val="Contedodetabela"/>
        <w:snapToGrid w:val="false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etabela"/>
        <w:tabs>
          <w:tab w:val="left" w:pos="570" w:leader="none"/>
        </w:tabs>
        <w:bidi w:val="0"/>
        <w:snapToGrid w:val="false"/>
        <w:spacing w:lineRule="auto" w:line="360"/>
        <w:ind w:left="0" w:right="0" w:firstLine="567"/>
        <w:jc w:val="both"/>
        <w:rPr/>
      </w:pPr>
      <w:r>
        <w:rPr>
          <w:rFonts w:eastAsia="Lucida Sans Unicode" w:cs="Times New Roman"/>
          <w:b/>
          <w:bCs/>
          <w:color w:val="00000A"/>
          <w:sz w:val="24"/>
          <w:szCs w:val="24"/>
          <w:lang w:val="pt-BR" w:eastAsia="zxx" w:bidi="ar-SA"/>
        </w:rPr>
        <w:t xml:space="preserve">A Corregedoria recomenda que o atendimento a partes e advogados seja </w:t>
        <w:tab/>
        <w:t xml:space="preserve">registrado em livro próprio, </w:t>
      </w:r>
      <w:r>
        <w:rPr>
          <w:rFonts w:eastAsia="Lucida Sans Unicode" w:cs="Times New Roman"/>
          <w:b/>
          <w:bCs/>
          <w:color w:val="00000A"/>
          <w:sz w:val="24"/>
          <w:szCs w:val="24"/>
          <w:u w:val="none" w:color="000000"/>
          <w:lang w:val="pt-BR" w:eastAsia="zxx" w:bidi="ar-SA"/>
        </w:rPr>
        <w:t>nos termos do art. 42, II, k, do Regimento Interno da Corregedoria-Geral (Resolução CPJ nº 005/2014)</w:t>
      </w:r>
      <w:r>
        <w:rPr>
          <w:rFonts w:eastAsia="Lucida Sans Unicode" w:cs="Times New Roman"/>
          <w:b w:val="false"/>
          <w:bCs w:val="false"/>
          <w:color w:val="00000A"/>
          <w:sz w:val="24"/>
          <w:szCs w:val="24"/>
          <w:u w:val="none" w:color="000000"/>
          <w:lang w:val="pt-BR" w:eastAsia="zxx" w:bidi="ar-SA"/>
        </w:rPr>
        <w:t>.</w:t>
      </w:r>
      <w:r>
        <w:rPr>
          <w:rFonts w:eastAsia="Lucida Sans Unicode" w:cs="Times New Roman"/>
          <w:b w:val="false"/>
          <w:bCs w:val="false"/>
          <w:color w:val="00000A"/>
          <w:sz w:val="24"/>
          <w:szCs w:val="24"/>
          <w:lang w:val="pt-BR" w:eastAsia="zxx" w:bidi="ar-SA"/>
        </w:rPr>
        <w:t xml:space="preserve">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>
          <w:b/>
          <w:bCs/>
          <w:lang w:val="pt-PT"/>
        </w:rPr>
        <w:t>3) ELOGIOS, PRÊMIOS, CURSOS E CONGRESSOS</w:t>
      </w:r>
    </w:p>
    <w:p>
      <w:pPr>
        <w:pStyle w:val="Normal"/>
        <w:jc w:val="both"/>
        <w:rPr>
          <w:b/>
          <w:b/>
          <w:bCs/>
          <w:lang w:val="pt-PT"/>
        </w:rPr>
      </w:pPr>
      <w:r>
        <w:rPr>
          <w:b/>
          <w:bCs/>
          <w:lang w:val="pt-PT"/>
        </w:rPr>
      </w:r>
    </w:p>
    <w:p>
      <w:pPr>
        <w:pStyle w:val="Normal"/>
        <w:ind w:left="0" w:right="0" w:firstLine="567"/>
        <w:jc w:val="both"/>
        <w:rPr/>
      </w:pPr>
      <w:r>
        <w:rPr>
          <w:rFonts w:eastAsia="Times New Roman"/>
          <w:b w:val="false"/>
          <w:bCs w:val="false"/>
          <w:lang w:val="pt-PT"/>
        </w:rPr>
        <w:t>Não foram prestadas informações pelo Promotor de Justiça.</w:t>
      </w:r>
    </w:p>
    <w:p>
      <w:pPr>
        <w:pStyle w:val="Normal"/>
        <w:ind w:left="0" w:right="0" w:firstLine="567"/>
        <w:jc w:val="both"/>
        <w:rPr>
          <w:rFonts w:eastAsia="Times New Roman"/>
          <w:b w:val="false"/>
          <w:b w:val="false"/>
          <w:bCs w:val="false"/>
          <w:lang w:val="pt-PT"/>
        </w:rPr>
      </w:pPr>
      <w:r>
        <w:rPr>
          <w:rFonts w:eastAsia="Times New Roman"/>
          <w:b w:val="false"/>
          <w:bCs w:val="false"/>
          <w:lang w:val="pt-PT"/>
        </w:rPr>
      </w:r>
    </w:p>
    <w:p>
      <w:pPr>
        <w:pStyle w:val="Normal"/>
        <w:jc w:val="both"/>
        <w:rPr/>
      </w:pPr>
      <w:r>
        <w:rPr>
          <w:b/>
          <w:bCs/>
          <w:lang w:val="pt-PT"/>
        </w:rPr>
        <w:t>4) PLANEJAMENTO ESTRATÉGICO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tbl>
      <w:tblPr>
        <w:tblW w:w="8624" w:type="dxa"/>
        <w:jc w:val="left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130" w:type="dxa"/>
          <w:bottom w:w="80" w:type="dxa"/>
          <w:right w:w="80" w:type="dxa"/>
        </w:tblCellMar>
      </w:tblPr>
      <w:tblGrid>
        <w:gridCol w:w="5773"/>
        <w:gridCol w:w="2850"/>
      </w:tblGrid>
      <w:tr>
        <w:trPr>
          <w:trHeight w:val="250" w:hRule="atLeast"/>
        </w:trPr>
        <w:tc>
          <w:tcPr>
            <w:tcW w:w="57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9D9D9" w:val="clear"/>
            <w:tcMar>
              <w:left w:w="130" w:type="dxa"/>
            </w:tcMar>
            <w:vAlign w:val="center"/>
          </w:tcPr>
          <w:p>
            <w:pPr>
              <w:pStyle w:val="Rule"/>
              <w:spacing w:before="0" w:after="0"/>
              <w:ind w:left="55" w:right="0" w:hanging="13"/>
              <w:rPr/>
            </w:pPr>
            <w:r>
              <w:rPr>
                <w:rFonts w:ascii="Garamond" w:hAnsi="Garamond"/>
                <w:b/>
                <w:bCs/>
                <w:sz w:val="20"/>
                <w:szCs w:val="20"/>
                <w:lang w:val="pt-PT"/>
              </w:rPr>
              <w:t>4.1) Desenvolve ou apoia algum projeto ou programa de interesse social para a Comunidade?</w:t>
            </w: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CCCCC" w:val="clear"/>
            <w:tcMar>
              <w:left w:w="45" w:type="dxa"/>
            </w:tcMar>
          </w:tcPr>
          <w:p>
            <w:pPr>
              <w:pStyle w:val="Rule"/>
              <w:spacing w:before="0" w:after="0"/>
              <w:jc w:val="center"/>
              <w:rPr/>
            </w:pPr>
            <w:r>
              <w:rPr>
                <w:rFonts w:ascii="Garamond" w:hAnsi="Garamond"/>
                <w:sz w:val="20"/>
                <w:szCs w:val="20"/>
                <w:lang w:val="pt-PT"/>
              </w:rPr>
              <w:t>(  x  ) Sim</w:t>
            </w:r>
          </w:p>
        </w:tc>
      </w:tr>
      <w:tr>
        <w:trPr>
          <w:trHeight w:val="250" w:hRule="atLeast"/>
        </w:trPr>
        <w:tc>
          <w:tcPr>
            <w:tcW w:w="577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9D9D9" w:val="clear"/>
            <w:tcMar>
              <w:top w:w="0" w:type="dxa"/>
              <w:left w:w="82" w:type="dxa"/>
              <w:bottom w:w="0" w:type="dxa"/>
              <w:right w:w="10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CCCCC" w:val="clear"/>
            <w:tcMar>
              <w:left w:w="45" w:type="dxa"/>
            </w:tcMar>
          </w:tcPr>
          <w:p>
            <w:pPr>
              <w:pStyle w:val="Rule"/>
              <w:spacing w:before="0" w:after="0"/>
              <w:jc w:val="center"/>
              <w:rPr/>
            </w:pPr>
            <w:r>
              <w:rPr>
                <w:rFonts w:ascii="Garamond" w:hAnsi="Garamond"/>
                <w:sz w:val="20"/>
                <w:szCs w:val="20"/>
                <w:lang w:val="pt-PT"/>
              </w:rPr>
              <w:t>(    ) Não</w:t>
            </w:r>
          </w:p>
        </w:tc>
      </w:tr>
      <w:tr>
        <w:trPr>
          <w:trHeight w:val="250" w:hRule="atLeast"/>
        </w:trPr>
        <w:tc>
          <w:tcPr>
            <w:tcW w:w="86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9D9D9" w:val="clear"/>
            <w:tcMar>
              <w:left w:w="130" w:type="dxa"/>
              <w:right w:w="97" w:type="dxa"/>
            </w:tcMar>
          </w:tcPr>
          <w:p>
            <w:pPr>
              <w:pStyle w:val="Normal"/>
              <w:ind w:left="55" w:right="17" w:hanging="13"/>
              <w:rPr/>
            </w:pPr>
            <w:r>
              <w:rPr>
                <w:rFonts w:ascii="Garamond" w:hAnsi="Garamond"/>
                <w:b/>
                <w:bCs/>
                <w:sz w:val="20"/>
                <w:szCs w:val="20"/>
                <w:lang w:val="pt-PT"/>
              </w:rPr>
              <w:t>4.2) Se desenvolver algum projeto ou programa de interesse social, citar qual(quais):</w:t>
            </w:r>
          </w:p>
        </w:tc>
      </w:tr>
      <w:tr>
        <w:trPr>
          <w:trHeight w:val="970" w:hRule="atLeast"/>
        </w:trPr>
        <w:tc>
          <w:tcPr>
            <w:tcW w:w="86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45" w:type="dxa"/>
            </w:tcMar>
          </w:tcPr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bookmarkStart w:id="0" w:name="__DdeLink__836_1395352363"/>
            <w:bookmarkEnd w:id="0"/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  <w:t>Encontra-se em anexo lista de iniciativas desenvolvidas pela unidade.</w:t>
            </w:r>
          </w:p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50" w:hRule="atLeast"/>
        </w:trPr>
        <w:tc>
          <w:tcPr>
            <w:tcW w:w="86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9D9D9" w:val="clear"/>
            <w:tcMar>
              <w:left w:w="45" w:type="dxa"/>
              <w:right w:w="85" w:type="dxa"/>
            </w:tcMar>
          </w:tcPr>
          <w:p>
            <w:pPr>
              <w:pStyle w:val="Normal"/>
              <w:ind w:left="0" w:right="5" w:hanging="0"/>
              <w:rPr/>
            </w:pPr>
            <w:r>
              <w:rPr>
                <w:rFonts w:ascii="Garamond" w:hAnsi="Garamond"/>
                <w:b/>
                <w:bCs/>
                <w:sz w:val="20"/>
                <w:szCs w:val="20"/>
                <w:lang w:val="pt-PT"/>
              </w:rPr>
              <w:t>4.3) Observações gerais/Justificativa</w:t>
            </w:r>
          </w:p>
        </w:tc>
      </w:tr>
      <w:tr>
        <w:trPr>
          <w:trHeight w:val="1210" w:hRule="atLeast"/>
        </w:trPr>
        <w:tc>
          <w:tcPr>
            <w:tcW w:w="86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45" w:type="dxa"/>
            </w:tcMar>
          </w:tcPr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</w:r>
          </w:p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</w:r>
          </w:p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</w:r>
          </w:p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color w:val="000000"/>
          <w:u w:val="none" w:color="000000"/>
          <w:lang w:val="pt-PT"/>
        </w:rPr>
        <w:t>5) ATUAÇÃO COMO MEMBRO DESIGNADO</w:t>
      </w:r>
    </w:p>
    <w:p>
      <w:pPr>
        <w:pStyle w:val="Normal"/>
        <w:jc w:val="both"/>
        <w:rPr/>
      </w:pPr>
      <w:r>
        <w:rPr/>
      </w:r>
    </w:p>
    <w:tbl>
      <w:tblPr>
        <w:tblW w:w="9248" w:type="dxa"/>
        <w:jc w:val="left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78" w:type="dxa"/>
          <w:bottom w:w="80" w:type="dxa"/>
          <w:right w:w="80" w:type="dxa"/>
        </w:tblCellMar>
      </w:tblPr>
      <w:tblGrid>
        <w:gridCol w:w="6014"/>
        <w:gridCol w:w="3233"/>
      </w:tblGrid>
      <w:tr>
        <w:trPr>
          <w:trHeight w:val="892" w:hRule="atLeast"/>
        </w:trPr>
        <w:tc>
          <w:tcPr>
            <w:tcW w:w="60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DDDDDD" w:val="clear"/>
            <w:tcMar>
              <w:left w:w="78" w:type="dxa"/>
            </w:tcMar>
          </w:tcPr>
          <w:p>
            <w:pPr>
              <w:pStyle w:val="Contedodatabela"/>
              <w:rPr/>
            </w:pPr>
            <w:r>
              <w:rPr>
                <w:b/>
                <w:bCs/>
                <w:lang w:val="pt-PT"/>
              </w:rPr>
              <w:t>Procedimentos em que o Promotor correcionado atua(ou) como membro designado – fl. 12</w:t>
            </w:r>
          </w:p>
        </w:tc>
        <w:tc>
          <w:tcPr>
            <w:tcW w:w="3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DDDDDD" w:val="clear"/>
            <w:tcMar>
              <w:left w:w="78" w:type="dxa"/>
            </w:tcMar>
          </w:tcPr>
          <w:p>
            <w:pPr>
              <w:pStyle w:val="Contedodatabela"/>
              <w:rPr/>
            </w:pPr>
            <w:r>
              <w:rPr>
                <w:b/>
                <w:bCs/>
                <w:lang w:val="pt-PT"/>
              </w:rPr>
              <w:t>Situação do Procedimento</w:t>
            </w:r>
          </w:p>
          <w:p>
            <w:pPr>
              <w:pStyle w:val="Contedodatabela"/>
              <w:rPr/>
            </w:pPr>
            <w:r>
              <w:rPr>
                <w:b/>
                <w:bCs/>
                <w:lang w:val="pt-PT"/>
              </w:rPr>
              <w:t>(encerrado ou em andamento)</w:t>
            </w:r>
          </w:p>
        </w:tc>
      </w:tr>
      <w:tr>
        <w:trPr>
          <w:trHeight w:val="292" w:hRule="atLeast"/>
        </w:trPr>
        <w:tc>
          <w:tcPr>
            <w:tcW w:w="60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jc w:val="center"/>
              <w:rPr/>
            </w:pPr>
            <w:r>
              <w:rPr/>
              <w:t>-</w:t>
            </w:r>
          </w:p>
        </w:tc>
        <w:tc>
          <w:tcPr>
            <w:tcW w:w="3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78" w:type="dxa"/>
            </w:tcMar>
          </w:tcPr>
          <w:p>
            <w:pPr>
              <w:pStyle w:val="Normal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lang w:val="pt-PT"/>
        </w:rPr>
        <w:t>6) AVALIAÇÃO QUALITATIVA DA ATUAÇÃO FUNCIONAL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tbl>
      <w:tblPr>
        <w:tblW w:w="8556" w:type="dxa"/>
        <w:jc w:val="left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362" w:type="dxa"/>
          <w:bottom w:w="80" w:type="dxa"/>
          <w:right w:w="80" w:type="dxa"/>
        </w:tblCellMar>
      </w:tblPr>
      <w:tblGrid>
        <w:gridCol w:w="3465"/>
        <w:gridCol w:w="1635"/>
        <w:gridCol w:w="3456"/>
      </w:tblGrid>
      <w:tr>
        <w:trPr>
          <w:trHeight w:val="434" w:hRule="atLeast"/>
        </w:trPr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362" w:type="dxa"/>
            </w:tcMar>
          </w:tcPr>
          <w:p>
            <w:pPr>
              <w:pStyle w:val="Notaderodap"/>
              <w:jc w:val="center"/>
              <w:rPr/>
            </w:pPr>
            <w:r>
              <w:rPr>
                <w:lang w:val="pt-PT"/>
              </w:rPr>
              <w:t>Descrever e especificar as atividades desenvolvidas, inclusive em outros órgãos onde atua/atuou.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362" w:type="dxa"/>
            </w:tcMar>
          </w:tcPr>
          <w:p>
            <w:pPr>
              <w:pStyle w:val="Notaderodap"/>
              <w:jc w:val="center"/>
              <w:rPr/>
            </w:pPr>
            <w:r>
              <w:rPr>
                <w:lang w:val="pt-PT"/>
              </w:rPr>
              <w:t>Descrição da atividade desenvolvida</w:t>
            </w:r>
          </w:p>
        </w:tc>
      </w:tr>
      <w:tr>
        <w:trPr>
          <w:trHeight w:val="43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11.1 Exercício da função pedagógica da cidadania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x  ) Sim 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  <w:t>Encontra-se em anexo lista de iniciativas desenvolvidas pela unidade.</w:t>
            </w:r>
          </w:p>
        </w:tc>
      </w:tr>
      <w:tr>
        <w:trPr>
          <w:trHeight w:val="43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11.2 Realização periódica de audiências públicas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  ) Sim 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3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11.3 Combater as causas que geram desigualdades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x  ) Sim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>
                <w:rFonts w:ascii="Garamond" w:hAnsi="Garamond" w:eastAsia="Garamond" w:cs="Garamond"/>
                <w:b/>
                <w:b/>
                <w:bCs/>
                <w:sz w:val="20"/>
                <w:szCs w:val="20"/>
                <w:lang w:val="pt-PT"/>
              </w:rPr>
            </w:pPr>
            <w:r>
              <w:rPr>
                <w:rFonts w:eastAsia="Garamond" w:cs="Garamond" w:ascii="Garamond" w:hAnsi="Garamond"/>
                <w:b/>
                <w:bCs/>
                <w:sz w:val="20"/>
                <w:szCs w:val="20"/>
                <w:lang w:val="pt-PT"/>
              </w:rPr>
              <w:t>Encontra-se em anexo lista de iniciativas desenvolvidas pela unidade.</w:t>
            </w:r>
          </w:p>
        </w:tc>
      </w:tr>
      <w:tr>
        <w:trPr>
          <w:trHeight w:val="43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11.4 Incentivo ao controle de constitucionalidade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  ) Sim 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5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11.5 Fiscalização do cumprimento das sentenças de procedência proferidas em ações promovidas pelo MP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  ) Sim 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87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11.6 Incentivar o cumprimento da Resolução 118 do CNMP: priorização da resolução consensual das demandas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  ) Sim 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54" w:hRule="atLeast"/>
        </w:trPr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E6E6E6" w:val="clear"/>
            <w:tcMar>
              <w:left w:w="61" w:type="dxa"/>
            </w:tcMar>
          </w:tcPr>
          <w:p>
            <w:pPr>
              <w:pStyle w:val="Contedodetabela"/>
              <w:jc w:val="both"/>
              <w:rPr/>
            </w:pPr>
            <w:r>
              <w:rPr>
                <w:b/>
                <w:bCs/>
                <w:sz w:val="20"/>
                <w:szCs w:val="20"/>
                <w:lang w:val="pt-PT"/>
              </w:rPr>
              <w:t>11.7 Atua ou atuou em casos complexos ou de repercussão social no último ano</w:t>
            </w:r>
          </w:p>
        </w:tc>
        <w:tc>
          <w:tcPr>
            <w:tcW w:w="16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Contedodetabela"/>
              <w:jc w:val="center"/>
              <w:rPr/>
            </w:pPr>
            <w:r>
              <w:rPr>
                <w:sz w:val="20"/>
                <w:szCs w:val="20"/>
                <w:lang w:val="pt-PT"/>
              </w:rPr>
              <w:t>(   ) Sim   (   ) Não</w:t>
            </w:r>
          </w:p>
        </w:tc>
        <w:tc>
          <w:tcPr>
            <w:tcW w:w="3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ED7E7" w:val="clear"/>
            <w:tcMar>
              <w:left w:w="61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>
          <w:b/>
          <w:bCs/>
          <w:lang w:val="pt-PT"/>
        </w:rPr>
        <w:t>7) REGISTRO FOTOGRÁFICO</w:t>
      </w:r>
    </w:p>
    <w:p>
      <w:pPr>
        <w:pStyle w:val="Normal"/>
        <w:jc w:val="both"/>
        <w:rPr>
          <w:b/>
          <w:b/>
          <w:bCs/>
          <w:lang w:val="pt-PT"/>
        </w:rPr>
      </w:pPr>
      <w:r>
        <w:rPr>
          <w:b/>
          <w:bCs/>
          <w:lang w:val="pt-PT"/>
        </w:rPr>
      </w:r>
    </w:p>
    <w:p>
      <w:pPr>
        <w:pStyle w:val="Normal"/>
        <w:jc w:val="both"/>
        <w:rPr>
          <w:b/>
          <w:b/>
          <w:bCs/>
          <w:lang w:val="pt-PT"/>
        </w:rPr>
      </w:pPr>
      <w:r>
        <w:rPr>
          <w:b/>
          <w:bCs/>
          <w:lang w:val="pt-PT"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624455"/>
            <wp:effectExtent l="0" t="0" r="0" b="0"/>
            <wp:wrapSquare wrapText="largest"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624455"/>
            <wp:effectExtent l="0" t="0" r="0" b="0"/>
            <wp:wrapSquare wrapText="largest"/>
            <wp:docPr id="3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624455"/>
            <wp:effectExtent l="0" t="0" r="0" b="0"/>
            <wp:wrapSquare wrapText="largest"/>
            <wp:docPr id="4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8) CONCLUSÕES DA CORREGEDORIA-GERAL</w:t>
      </w:r>
    </w:p>
    <w:p>
      <w:pPr>
        <w:pStyle w:val="Normal"/>
        <w:tabs>
          <w:tab w:val="left" w:pos="570" w:leader="none"/>
        </w:tabs>
        <w:spacing w:lineRule="auto" w:line="360"/>
        <w:ind w:left="0" w:right="0" w:firstLine="567"/>
        <w:jc w:val="both"/>
        <w:rPr/>
      </w:pPr>
      <w:r>
        <w:rPr>
          <w:rFonts w:eastAsia="Lucida Sans Unicode" w:cs="Times New Roman"/>
          <w:color w:val="000000"/>
          <w:sz w:val="24"/>
          <w:szCs w:val="24"/>
          <w:lang w:val="pt-BR" w:eastAsia="zxx" w:bidi="ar-SA"/>
        </w:rPr>
        <w:t xml:space="preserve">A </w:t>
      </w:r>
      <w:bookmarkStart w:id="1" w:name="__DdeLink__451_2381154694"/>
      <w:r>
        <w:rPr>
          <w:rFonts w:eastAsia="Lucida Sans Unicode" w:cs="Times New Roman"/>
          <w:color w:val="000000"/>
          <w:sz w:val="24"/>
          <w:szCs w:val="24"/>
          <w:lang w:val="pt-BR" w:eastAsia="zxx" w:bidi="ar-SA"/>
        </w:rPr>
        <w:t xml:space="preserve">Comissão de Promoção dos Direitos de Lésbicas, Gays, Bissexuais, </w:t>
      </w:r>
      <w:bookmarkStart w:id="2" w:name="__DdeLink__430_611405500"/>
      <w:r>
        <w:rPr>
          <w:rFonts w:eastAsia="Lucida Sans Unicode" w:cs="Times New Roman"/>
          <w:color w:val="000000"/>
          <w:sz w:val="24"/>
          <w:szCs w:val="24"/>
          <w:lang w:val="pt-BR" w:eastAsia="zxx" w:bidi="ar-SA"/>
        </w:rPr>
        <w:t>Travestis</w:t>
      </w:r>
      <w:bookmarkEnd w:id="2"/>
      <w:r>
        <w:rPr>
          <w:rFonts w:eastAsia="Lucida Sans Unicode" w:cs="Times New Roman"/>
          <w:color w:val="000000"/>
          <w:sz w:val="24"/>
          <w:szCs w:val="24"/>
          <w:lang w:val="pt-BR" w:eastAsia="zxx" w:bidi="ar-SA"/>
        </w:rPr>
        <w:t xml:space="preserve">, </w:t>
        <w:tab/>
        <w:t>Transexuais e Transgêneros – LGBT</w:t>
      </w:r>
      <w:bookmarkEnd w:id="1"/>
      <w:r>
        <w:rPr>
          <w:rFonts w:eastAsia="Lucida Sans Unicode" w:cs="Times New Roman"/>
          <w:color w:val="000000"/>
          <w:sz w:val="24"/>
          <w:szCs w:val="24"/>
          <w:lang w:val="pt-BR" w:eastAsia="zxx" w:bidi="ar-SA"/>
        </w:rPr>
        <w:t xml:space="preserve"> foi criada através da Portaria nº 791/2018, vinculada e sob a coordenação do Centro de Apoio Operacional de Defesa dos Direitos Humanos.</w:t>
      </w:r>
    </w:p>
    <w:p>
      <w:pPr>
        <w:pStyle w:val="Normal"/>
        <w:tabs>
          <w:tab w:val="left" w:pos="570" w:leader="none"/>
        </w:tabs>
        <w:spacing w:lineRule="auto" w:line="360"/>
        <w:ind w:left="0" w:right="0" w:firstLine="567"/>
        <w:jc w:val="both"/>
        <w:rPr>
          <w:rFonts w:ascii="Times New Roman" w:hAnsi="Times New Roman" w:eastAsia="Lucida Sans Unicode" w:cs="Times New Roman"/>
          <w:color w:val="000000"/>
          <w:sz w:val="24"/>
          <w:szCs w:val="24"/>
          <w:lang w:val="pt-BR" w:eastAsia="zxx" w:bidi="ar-SA"/>
        </w:rPr>
      </w:pPr>
      <w:r>
        <w:rPr>
          <w:rFonts w:eastAsia="Lucida Sans Unicode" w:cs="Times New Roman"/>
          <w:color w:val="000000"/>
          <w:sz w:val="24"/>
          <w:szCs w:val="24"/>
          <w:lang w:val="pt-BR" w:eastAsia="zxx" w:bidi="ar-SA"/>
        </w:rPr>
      </w:r>
    </w:p>
    <w:p>
      <w:pPr>
        <w:pStyle w:val="Normal"/>
        <w:tabs>
          <w:tab w:val="left" w:pos="570" w:leader="none"/>
        </w:tabs>
        <w:spacing w:lineRule="auto" w:line="360"/>
        <w:ind w:left="0" w:right="0" w:firstLine="567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0"/>
          <w:sz w:val="24"/>
          <w:szCs w:val="24"/>
          <w:u w:val="none" w:color="000000"/>
          <w:lang w:val="pt-BR" w:eastAsia="zxx" w:bidi="ar-SA"/>
        </w:rPr>
        <w:t xml:space="preserve">Compete, primordialmente, à Comissão de Promoção dos Direitos de LGBT </w:t>
        <w:tab/>
        <w:t>desenvolver, no âmbito do Ministério Público do Estado de Sergipe, política destinada à promoção dos direitos relacionados à população LGBT, bem como a prevenir e enfrentar toda forma de discriminação e violência praticada contra este segmento; promover e apoiar campanhas educativas sobre o tema; representar o Ministério Público em eventos relativos às questões de identidade de gênero e diversidade sexual, dentre outras atribuições.</w:t>
      </w:r>
    </w:p>
    <w:p>
      <w:pPr>
        <w:pStyle w:val="Normal"/>
        <w:tabs>
          <w:tab w:val="left" w:pos="570" w:leader="none"/>
        </w:tabs>
        <w:spacing w:lineRule="auto" w:line="360"/>
        <w:ind w:left="0" w:right="0" w:firstLine="567"/>
        <w:jc w:val="both"/>
        <w:rPr>
          <w:rStyle w:val="LinkdaInternet"/>
          <w:rFonts w:eastAsia="Lucida Sans Unicode" w:cs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  <w:u w:val="none" w:color="000000"/>
          <w:lang w:val="pt-BR" w:eastAsia="zxx" w:bidi="ar-SA"/>
        </w:rPr>
      </w:pPr>
      <w:r>
        <w:rPr>
          <w:rFonts w:eastAsia="Lucida Sans Unicode" w:cs="Times New Roman"/>
          <w:b w:val="false"/>
          <w:bCs w:val="false"/>
          <w:i w:val="false"/>
          <w:iCs w:val="false"/>
          <w:color w:val="000000"/>
          <w:sz w:val="24"/>
          <w:szCs w:val="24"/>
          <w:u w:val="none" w:color="000000"/>
          <w:lang w:val="pt-BR" w:eastAsia="zxx" w:bidi="ar-SA"/>
        </w:rPr>
      </w:r>
    </w:p>
    <w:p>
      <w:pPr>
        <w:pStyle w:val="Normal"/>
        <w:tabs>
          <w:tab w:val="left" w:pos="570" w:leader="none"/>
        </w:tabs>
        <w:bidi w:val="0"/>
        <w:spacing w:lineRule="auto" w:line="360"/>
        <w:ind w:left="0" w:right="0" w:firstLine="567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 xml:space="preserve">Verificou-se que a </w:t>
      </w: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0"/>
          <w:sz w:val="24"/>
          <w:szCs w:val="24"/>
          <w:u w:val="none" w:color="000000"/>
          <w:lang w:val="pt-BR" w:eastAsia="zxx" w:bidi="ar-SA"/>
        </w:rPr>
        <w:t xml:space="preserve">Comissão de Promoção dos Direitos de Lésbicas, Gays, </w:t>
        <w:tab/>
        <w:t>Bissexuais, Travestis, Transexuais e Transgêneros – LGBT</w:t>
      </w: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 xml:space="preserve"> estava atuando de forma proativa, sendo informado pelo Promotor de Justiça Coordenador as Iniciativas realizadas, quais sejam, Encontro Estadual sobre o Pacto de enfrentamento da violência LGBTfóbica, Curso “Direito Humanos e LGBTs”, </w:t>
      </w:r>
      <w:r>
        <w:rPr>
          <w:rStyle w:val="LinkdaInternet"/>
          <w:rFonts w:eastAsia="Lucida Sans Unicode" w:cs="Arial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 xml:space="preserve">Participação na Parada LGBT, em conjunto com a Defensoria Pública do Estado de Sergipe e da OAB/SE (fl. 19). Da mesma forma, foi noticiada a Iniciativa em andamento: Auxílio à Promotoria de Justiça do Controle Externo da atividade policial na realização do </w:t>
      </w:r>
      <w:r>
        <w:rPr>
          <w:rStyle w:val="LinkdaInternet"/>
          <w:rFonts w:eastAsia="Lucida Sans Unicode" w:cs="Arial"/>
          <w:b w:val="false"/>
          <w:bCs w:val="false"/>
          <w:i w:val="false"/>
          <w:iCs w:val="false"/>
          <w:color w:val="000000"/>
          <w:sz w:val="24"/>
          <w:szCs w:val="24"/>
          <w:u w:val="none" w:color="000000"/>
          <w:lang w:val="pt-BR" w:eastAsia="zxx" w:bidi="ar-SA"/>
        </w:rPr>
        <w:t>Curso “Gênero, diversidade sexual e segurança pública”.</w:t>
      </w:r>
    </w:p>
    <w:p>
      <w:pPr>
        <w:pStyle w:val="Normal"/>
        <w:tabs>
          <w:tab w:val="left" w:pos="570" w:leader="none"/>
        </w:tabs>
        <w:bidi w:val="0"/>
        <w:spacing w:lineRule="auto" w:line="360"/>
        <w:ind w:left="0" w:right="0" w:firstLine="567"/>
        <w:jc w:val="both"/>
        <w:rPr>
          <w:rStyle w:val="LinkdaInternet"/>
          <w:rFonts w:ascii="Times New Roman" w:hAnsi="Times New Roman" w:eastAsia="Lucida Sans Unicode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</w:pPr>
      <w:r>
        <w:rPr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</w:r>
    </w:p>
    <w:p>
      <w:pPr>
        <w:pStyle w:val="Normal"/>
        <w:tabs>
          <w:tab w:val="left" w:pos="570" w:leader="none"/>
        </w:tabs>
        <w:bidi w:val="0"/>
        <w:spacing w:lineRule="auto" w:line="360"/>
        <w:ind w:left="0" w:right="0" w:firstLine="567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 xml:space="preserve">Merecendo destaque, ainda, as iniciativas já concluídas, realizadas em parceria </w:t>
        <w:tab/>
        <w:t xml:space="preserve">com outras Promotorias de Justiça: </w:t>
      </w:r>
      <w:r>
        <w:rPr>
          <w:rStyle w:val="LinkdaInternet"/>
          <w:rFonts w:eastAsia="Lucida Sans Unicode" w:cs="Arial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>Participação em Audiência atinente à alocação de detentos e detentas trans nos presídios do Estado de Sergipe – feito em curso na 4ª Promotoria de Justiça do Cidadão; Participação em Audiência atinente à abordagem de pessoas trans por profissionais da segurança pública no Estado de Sergipe – feito em curso na Promotoria de Justiça do Controle Externo da atividade policial; Tratativas referentes à implantação e funcionamento do Ambulatório Trans – Procedimento em curso.</w:t>
      </w:r>
    </w:p>
    <w:p>
      <w:pPr>
        <w:pStyle w:val="Normal"/>
        <w:tabs>
          <w:tab w:val="left" w:pos="570" w:leader="none"/>
        </w:tabs>
        <w:bidi w:val="0"/>
        <w:spacing w:lineRule="auto" w:line="360"/>
        <w:ind w:left="0" w:right="0" w:firstLine="567"/>
        <w:jc w:val="both"/>
        <w:rPr>
          <w:rStyle w:val="LinkdaInternet"/>
          <w:rFonts w:ascii="Times New Roman" w:hAnsi="Times New Roman" w:eastAsia="Lucida Sans Unicode" w:cs="Arial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</w:pPr>
      <w:r>
        <w:rPr>
          <w:rFonts w:eastAsia="Lucida Sans Unicode" w:cs="Arial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</w:r>
    </w:p>
    <w:p>
      <w:pPr>
        <w:pStyle w:val="Normal"/>
        <w:widowControl/>
        <w:tabs>
          <w:tab w:val="left" w:pos="555" w:leader="none"/>
        </w:tabs>
        <w:suppressAutoHyphens w:val="false"/>
        <w:bidi w:val="0"/>
        <w:spacing w:lineRule="auto" w:line="360"/>
        <w:ind w:left="0" w:right="0" w:firstLine="567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Style w:val="LinkdaInternet"/>
          <w:rFonts w:eastAsia="Times New Roman" w:cs="Times New Roman"/>
          <w:b/>
          <w:bCs/>
          <w:i w:val="false"/>
          <w:iCs w:val="false"/>
          <w:color w:val="00000A"/>
          <w:sz w:val="24"/>
          <w:szCs w:val="24"/>
          <w:u w:val="none" w:color="000000"/>
          <w:lang w:val="pt-BR" w:eastAsia="ar-SA" w:bidi="zxx"/>
        </w:rPr>
        <w:t>Diante do que ficou registrado na presente Correição Ordinária, faz-se neces</w:t>
        <w:tab/>
        <w:t>sário apenas</w:t>
      </w:r>
      <w:r>
        <w:rPr>
          <w:rStyle w:val="LinkdaInternet"/>
          <w:rFonts w:eastAsia="Lucida Sans Unicode" w:cs="Times New Roman"/>
          <w:b/>
          <w:bCs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 xml:space="preserve"> que sejam registrados, em livro próprio, os atendimentos realizados ao público externo (partes/advogados/comunidades), nos termos do art. 42, II, k, do Regimento Interno da Corregedoria-Geral (Resolução CPJ nº 005/2014).</w:t>
      </w:r>
    </w:p>
    <w:p>
      <w:pPr>
        <w:pStyle w:val="Normal"/>
        <w:bidi w:val="0"/>
        <w:spacing w:lineRule="auto" w:line="360"/>
        <w:ind w:left="17" w:right="0" w:hanging="0"/>
        <w:jc w:val="both"/>
        <w:rPr/>
      </w:pPr>
      <w:r>
        <w:rPr/>
      </w:r>
    </w:p>
    <w:p>
      <w:pPr>
        <w:pStyle w:val="Normal"/>
        <w:bidi w:val="0"/>
        <w:spacing w:lineRule="auto" w:line="360"/>
        <w:ind w:left="17" w:right="0" w:hanging="0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ab/>
        <w:tab/>
      </w:r>
      <w:r>
        <w:rPr>
          <w:rStyle w:val="LinkdaInternet"/>
          <w:rFonts w:eastAsia="Lucida Sans Unicode" w:cs="Times New Roman"/>
          <w:b/>
          <w:bCs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>CONCEITO – Art. 74 – Resolução nº 005/2014 – CPJ</w:t>
      </w:r>
    </w:p>
    <w:p>
      <w:pPr>
        <w:pStyle w:val="Normal"/>
        <w:jc w:val="center"/>
        <w:rPr>
          <w:rFonts w:cs="Times New Roman"/>
          <w:b/>
          <w:b/>
          <w:bCs/>
          <w:color w:val="00000A"/>
          <w:sz w:val="24"/>
          <w:szCs w:val="24"/>
        </w:rPr>
      </w:pPr>
      <w:r>
        <w:rPr>
          <w:rFonts w:cs="Times New Roman"/>
          <w:b/>
          <w:bCs/>
          <w:color w:val="00000A"/>
          <w:sz w:val="24"/>
          <w:szCs w:val="24"/>
        </w:rPr>
      </w:r>
    </w:p>
    <w:p>
      <w:pPr>
        <w:pStyle w:val="Normal"/>
        <w:jc w:val="both"/>
        <w:rPr>
          <w:rFonts w:cs="Times New Roman"/>
          <w:b/>
          <w:b/>
          <w:bCs/>
          <w:color w:val="00000A"/>
          <w:sz w:val="24"/>
          <w:szCs w:val="24"/>
        </w:rPr>
      </w:pPr>
      <w:r>
        <w:rPr>
          <w:rFonts w:cs="Times New Roman"/>
          <w:b/>
          <w:bCs/>
          <w:color w:val="00000A"/>
          <w:sz w:val="24"/>
          <w:szCs w:val="24"/>
        </w:rPr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  <w:t>1. Forma e qualidade de redação das peças processuais analisadas: Não se aplica</w:t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  <w:t>2. Desempenho Atividade Judicial: Não se aplica</w:t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  <w:t>3. Desempenho Atividade Extrajudicial: Não se aplica</w:t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  <w:t>4. Desempenho Utilização dos Sistemas: Não se aplica</w:t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  <w:t>5. Avaliação Qualitativa: ÓTIMO – ITEM 6</w:t>
      </w:r>
    </w:p>
    <w:p>
      <w:pPr>
        <w:pStyle w:val="Normal"/>
        <w:jc w:val="both"/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both"/>
        <w:rPr>
          <w:rFonts w:eastAsia="Lucida Sans Unicode" w:cs="Times New Roman"/>
          <w:b/>
          <w:b/>
          <w:bCs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b/>
          <w:bCs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center"/>
        <w:rPr>
          <w:rFonts w:eastAsia="Lucida Sans Unicode" w:cs="Times New Roman"/>
          <w:b/>
          <w:b/>
          <w:bCs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imes New Roman"/>
          <w:b/>
          <w:bCs/>
          <w:color w:val="00000A"/>
          <w:sz w:val="24"/>
          <w:szCs w:val="24"/>
          <w:lang w:val="pt-BR" w:eastAsia="zxx" w:bidi="zxx"/>
        </w:rPr>
        <w:t>CONCEITO GERAL: ÓTIMO</w:t>
      </w:r>
    </w:p>
    <w:p>
      <w:pPr>
        <w:pStyle w:val="Normal"/>
        <w:jc w:val="both"/>
        <w:rPr>
          <w:rFonts w:eastAsia="Lucida Sans Unicode" w:cs="Tahoma"/>
          <w:b/>
          <w:b/>
          <w:bCs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ahoma"/>
          <w:b/>
          <w:bCs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center"/>
        <w:rPr>
          <w:rFonts w:eastAsia="Lucida Sans Unicode" w:cs="Tahoma"/>
          <w:b/>
          <w:b/>
          <w:bCs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ahoma"/>
          <w:b/>
          <w:bCs/>
          <w:color w:val="00000A"/>
          <w:sz w:val="24"/>
          <w:szCs w:val="24"/>
          <w:lang w:val="pt-BR" w:eastAsia="zxx" w:bidi="zxx"/>
        </w:rPr>
      </w:r>
    </w:p>
    <w:p>
      <w:pPr>
        <w:pStyle w:val="Normal"/>
        <w:jc w:val="center"/>
        <w:rPr>
          <w:rFonts w:eastAsia="Lucida Sans Unicode" w:cs="Tahoma"/>
          <w:b/>
          <w:b/>
          <w:bCs/>
          <w:color w:val="00000A"/>
          <w:sz w:val="24"/>
          <w:szCs w:val="24"/>
          <w:lang w:val="pt-BR" w:eastAsia="zxx" w:bidi="zxx"/>
        </w:rPr>
      </w:pPr>
      <w:r>
        <w:rPr>
          <w:rFonts w:eastAsia="Lucida Sans Unicode" w:cs="Tahoma"/>
          <w:b/>
          <w:bCs/>
          <w:color w:val="00000A"/>
          <w:sz w:val="24"/>
          <w:szCs w:val="24"/>
          <w:lang w:val="pt-BR" w:eastAsia="zxx" w:bidi="zxx"/>
        </w:rPr>
      </w:r>
    </w:p>
    <w:p>
      <w:pPr>
        <w:pStyle w:val="Normal"/>
        <w:widowControl w:val="false"/>
        <w:suppressLineNumbers/>
        <w:tabs>
          <w:tab w:val="left" w:pos="570" w:leader="none"/>
        </w:tabs>
        <w:suppressAutoHyphens w:val="true"/>
        <w:bidi w:val="0"/>
        <w:spacing w:lineRule="auto" w:line="360"/>
        <w:ind w:left="0" w:right="0" w:firstLine="567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ar-SA"/>
        </w:rPr>
        <w:t xml:space="preserve">Pelo exposto, determino o encaminhamento de cópia deste relatório para </w:t>
        <w:tab/>
        <w:t xml:space="preserve">conhecimento do Promotor de Justiça interessado para, querendo, manifestar-se sobre seu teor, no prazo de 10 (dez) dias e, após, encaminhe-se, para conhecimento, ao Egrégio Conselho Superior do Ministério Público, </w:t>
      </w: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zxx"/>
        </w:rPr>
        <w:t>nos termos do art. 126 da Lei Complementar Estadual 02/90, do art. 5º, § 2º, da Resolução nº. 149 – CNMP, arts. 10, XI e 85 do Regimento Interno do Conselho Superior do Ministério Público de Sergipe, e art. 64 do Regimento Interno da Corregedoria-Geral.</w:t>
      </w:r>
    </w:p>
    <w:p>
      <w:pPr>
        <w:pStyle w:val="Normal"/>
        <w:spacing w:lineRule="auto" w:line="360"/>
        <w:ind w:left="0" w:right="0" w:firstLine="567"/>
        <w:jc w:val="both"/>
        <w:rPr/>
      </w:pPr>
      <w:r>
        <w:rPr/>
      </w:r>
    </w:p>
    <w:p>
      <w:pPr>
        <w:pStyle w:val="Normal"/>
        <w:tabs>
          <w:tab w:val="left" w:pos="570" w:leader="none"/>
        </w:tabs>
        <w:spacing w:lineRule="auto" w:line="360"/>
        <w:ind w:left="0" w:right="0" w:firstLine="567"/>
        <w:jc w:val="both"/>
        <w:rPr/>
      </w:pPr>
      <w:r>
        <w:rPr>
          <w:rFonts w:cs="Times New Roman"/>
        </w:rPr>
        <w:t xml:space="preserve">Ressalta-se, por fim, que os trabalhos correcionais verificam a situação da unidade </w:t>
        <w:tab/>
        <w:t>ministerial num determinado momento, e</w:t>
      </w:r>
      <w:r>
        <w:rPr>
          <w:rFonts w:cs="Times New Roman"/>
          <w:lang w:bidi="zxx"/>
        </w:rPr>
        <w:t xml:space="preserve"> que, mesmo após a Correição, os Promotores de Justiça devem manter os serviços da unidade em dia e organizados.</w:t>
      </w:r>
    </w:p>
    <w:p>
      <w:pPr>
        <w:pStyle w:val="Normal"/>
        <w:spacing w:lineRule="auto" w:line="360"/>
        <w:ind w:left="0" w:right="0" w:firstLine="567"/>
        <w:jc w:val="both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widowControl w:val="false"/>
        <w:suppressLineNumbers/>
        <w:tabs>
          <w:tab w:val="left" w:pos="570" w:leader="none"/>
        </w:tabs>
        <w:suppressAutoHyphens w:val="true"/>
        <w:bidi w:val="0"/>
        <w:spacing w:lineRule="auto" w:line="360"/>
        <w:ind w:left="0" w:right="0" w:firstLine="567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zxx"/>
        </w:rPr>
        <w:t>Considerando que não foram observadas pendências durante a correição</w:t>
      </w:r>
      <w:r>
        <w:rPr>
          <w:rStyle w:val="LinkdaInternet"/>
          <w:rFonts w:eastAsia="Times New Roman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h-CN" w:bidi="zxx"/>
        </w:rPr>
        <w:t xml:space="preserve">, </w:t>
      </w: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zxx"/>
        </w:rPr>
        <w:t xml:space="preserve">passado </w:t>
        <w:tab/>
        <w:t xml:space="preserve">o prazo de resposta do Promotor ao relatório e após a apreciação pelo CSMP, </w:t>
      </w:r>
    </w:p>
    <w:p>
      <w:pPr>
        <w:pStyle w:val="Normal"/>
        <w:widowControl w:val="false"/>
        <w:suppressLineNumbers/>
        <w:tabs>
          <w:tab w:val="left" w:pos="570" w:leader="none"/>
        </w:tabs>
        <w:suppressAutoHyphens w:val="true"/>
        <w:bidi w:val="0"/>
        <w:spacing w:lineRule="auto" w:line="360"/>
        <w:ind w:left="0" w:right="0" w:firstLine="567"/>
        <w:jc w:val="both"/>
        <w:rPr>
          <w:rStyle w:val="LinkdaInternet"/>
          <w:rFonts w:eastAsia="Lucida Sans Unicode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zxx"/>
        </w:rPr>
      </w:pPr>
      <w:r>
        <w:rPr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zxx"/>
        </w:rPr>
      </w:r>
    </w:p>
    <w:p>
      <w:pPr>
        <w:pStyle w:val="Normal"/>
        <w:widowControl w:val="false"/>
        <w:suppressLineNumbers/>
        <w:tabs>
          <w:tab w:val="left" w:pos="570" w:leader="none"/>
        </w:tabs>
        <w:suppressAutoHyphens w:val="true"/>
        <w:bidi w:val="0"/>
        <w:spacing w:lineRule="auto" w:line="360"/>
        <w:ind w:left="0" w:right="0" w:firstLine="567"/>
        <w:jc w:val="both"/>
        <w:rPr/>
      </w:pPr>
      <w:r>
        <w:rPr>
          <w:rStyle w:val="LinkdaInternet"/>
          <w:rFonts w:eastAsia="Lucida Sans Unicode" w:cs="Times New Roman"/>
          <w:b w:val="false"/>
          <w:bCs w:val="false"/>
          <w:i w:val="false"/>
          <w:iCs w:val="false"/>
          <w:color w:val="00000A"/>
          <w:sz w:val="24"/>
          <w:szCs w:val="24"/>
          <w:u w:val="none" w:color="000000"/>
          <w:lang w:val="pt-BR" w:eastAsia="zxx" w:bidi="zxx"/>
        </w:rPr>
        <w:t>Arquive-se.</w:t>
      </w:r>
    </w:p>
    <w:p>
      <w:pPr>
        <w:pStyle w:val="Normal"/>
        <w:spacing w:lineRule="auto" w:line="360"/>
        <w:ind w:left="15" w:right="0" w:hanging="0"/>
        <w:jc w:val="center"/>
        <w:rPr/>
      </w:pPr>
      <w:r>
        <w:rPr/>
      </w:r>
    </w:p>
    <w:p>
      <w:pPr>
        <w:pStyle w:val="Normal"/>
        <w:jc w:val="center"/>
        <w:rPr>
          <w:rFonts w:eastAsia="TimesNewRomanPS-BoldMT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lang w:val="pt-BR" w:eastAsia="en-US" w:bidi="hi-IN"/>
        </w:rPr>
      </w:pPr>
      <w:r>
        <w:rPr>
          <w:rFonts w:eastAsia="TimesNewRomanPS-BoldMT" w:cs="Times New Roman"/>
          <w:b w:val="false"/>
          <w:bCs w:val="false"/>
          <w:i w:val="false"/>
          <w:iCs w:val="false"/>
          <w:color w:val="00000A"/>
          <w:sz w:val="24"/>
          <w:szCs w:val="24"/>
          <w:lang w:val="pt-BR" w:eastAsia="en-US" w:bidi="hi-IN"/>
        </w:rPr>
      </w:r>
    </w:p>
    <w:p>
      <w:pPr>
        <w:pStyle w:val="Normal"/>
        <w:jc w:val="center"/>
        <w:rPr/>
      </w:pPr>
      <w:r>
        <w:rPr>
          <w:rFonts w:eastAsia="TimesNewRomanPS-BoldMT" w:cs="Times New Roman"/>
          <w:b w:val="false"/>
          <w:bCs w:val="false"/>
          <w:i w:val="false"/>
          <w:iCs w:val="false"/>
          <w:color w:val="00000A"/>
          <w:sz w:val="24"/>
          <w:szCs w:val="24"/>
          <w:lang w:val="pt-BR" w:eastAsia="en-US" w:bidi="hi-IN"/>
        </w:rPr>
        <w:t>Aracaju, 09 de outubro de 2019</w:t>
      </w:r>
    </w:p>
    <w:p>
      <w:pPr>
        <w:pStyle w:val="Normal"/>
        <w:jc w:val="center"/>
        <w:rPr>
          <w:rFonts w:eastAsia="TimesNewRomanPS-BoldMT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lang w:val="pt-BR" w:eastAsia="en-US" w:bidi="hi-IN"/>
        </w:rPr>
      </w:pPr>
      <w:r>
        <w:rPr>
          <w:rFonts w:eastAsia="TimesNewRomanPS-BoldMT" w:cs="Times New Roman"/>
          <w:b w:val="false"/>
          <w:bCs w:val="false"/>
          <w:i w:val="false"/>
          <w:iCs w:val="false"/>
          <w:color w:val="00000A"/>
          <w:sz w:val="24"/>
          <w:szCs w:val="24"/>
          <w:lang w:val="pt-BR" w:eastAsia="en-US" w:bidi="hi-IN"/>
        </w:rPr>
      </w:r>
    </w:p>
    <w:p>
      <w:pPr>
        <w:pStyle w:val="Normal"/>
        <w:jc w:val="center"/>
        <w:rPr>
          <w:rFonts w:eastAsia="TimesNewRomanPS-BoldMT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lang w:val="pt-BR" w:eastAsia="en-US" w:bidi="hi-IN"/>
        </w:rPr>
      </w:pPr>
      <w:r>
        <w:rPr>
          <w:rFonts w:eastAsia="TimesNewRomanPS-BoldMT" w:cs="Times New Roman"/>
          <w:b w:val="false"/>
          <w:bCs w:val="false"/>
          <w:i w:val="false"/>
          <w:iCs w:val="false"/>
          <w:color w:val="00000A"/>
          <w:sz w:val="24"/>
          <w:szCs w:val="24"/>
          <w:lang w:val="pt-BR" w:eastAsia="en-US" w:bidi="hi-IN"/>
        </w:rPr>
      </w:r>
    </w:p>
    <w:p>
      <w:pPr>
        <w:pStyle w:val="Normal"/>
        <w:jc w:val="center"/>
        <w:rPr>
          <w:rFonts w:eastAsia="TimesNewRomanPS-BoldMT" w:cs="Times New Roman"/>
          <w:b/>
          <w:b/>
          <w:bCs/>
          <w:i w:val="false"/>
          <w:i w:val="false"/>
          <w:iCs w:val="false"/>
          <w:color w:val="00000A"/>
          <w:sz w:val="24"/>
          <w:szCs w:val="24"/>
          <w:lang w:val="pt-BR" w:eastAsia="en-US" w:bidi="hi-IN"/>
        </w:rPr>
      </w:pPr>
      <w:r>
        <w:rPr>
          <w:rFonts w:eastAsia="TimesNewRomanPS-BoldMT" w:cs="Times New Roman"/>
          <w:b/>
          <w:bCs/>
          <w:i w:val="false"/>
          <w:iCs w:val="false"/>
          <w:color w:val="00000A"/>
          <w:sz w:val="24"/>
          <w:szCs w:val="24"/>
          <w:lang w:val="pt-BR" w:eastAsia="en-US" w:bidi="hi-IN"/>
        </w:rPr>
      </w:r>
    </w:p>
    <w:p>
      <w:pPr>
        <w:pStyle w:val="Normal"/>
        <w:jc w:val="center"/>
        <w:rPr>
          <w:rFonts w:eastAsia="TimesNewRomanPS-BoldMT" w:cs="Times New Roman"/>
          <w:b/>
          <w:b/>
          <w:bCs/>
          <w:i w:val="false"/>
          <w:i w:val="false"/>
          <w:iCs w:val="false"/>
          <w:color w:val="00000A"/>
          <w:sz w:val="24"/>
          <w:szCs w:val="24"/>
          <w:lang w:val="pt-BR" w:eastAsia="en-US" w:bidi="hi-IN"/>
        </w:rPr>
      </w:pPr>
      <w:r>
        <w:rPr>
          <w:rFonts w:eastAsia="TimesNewRomanPS-BoldMT" w:cs="Times New Roman"/>
          <w:b/>
          <w:bCs/>
          <w:i w:val="false"/>
          <w:iCs w:val="false"/>
          <w:color w:val="00000A"/>
          <w:sz w:val="24"/>
          <w:szCs w:val="24"/>
          <w:lang w:val="pt-BR" w:eastAsia="en-US" w:bidi="hi-IN"/>
        </w:rPr>
        <w:t>Maria Conceição de Figueiredo Rolemberg</w:t>
      </w:r>
    </w:p>
    <w:p>
      <w:pPr>
        <w:pStyle w:val="Normal"/>
        <w:suppressLineNumbers/>
        <w:spacing w:lineRule="auto" w:line="360"/>
        <w:ind w:left="15" w:right="0" w:hanging="0"/>
        <w:jc w:val="center"/>
        <w:rPr>
          <w:rFonts w:eastAsia="TimesNewRomanPS-BoldMT" w:cs="Times New Roman"/>
          <w:b/>
          <w:b/>
          <w:bCs/>
          <w:i w:val="false"/>
          <w:i w:val="false"/>
          <w:iCs w:val="false"/>
          <w:color w:val="00000A"/>
          <w:sz w:val="24"/>
          <w:szCs w:val="24"/>
          <w:lang w:val="pt-BR" w:eastAsia="en-US" w:bidi="hi-IN"/>
        </w:rPr>
      </w:pPr>
      <w:r>
        <w:rPr>
          <w:rFonts w:eastAsia="TimesNewRomanPS-BoldMT" w:cs="Times New Roman"/>
          <w:b/>
          <w:bCs/>
          <w:i w:val="false"/>
          <w:iCs w:val="false"/>
          <w:color w:val="00000A"/>
          <w:sz w:val="24"/>
          <w:szCs w:val="24"/>
          <w:lang w:val="pt-BR" w:eastAsia="en-US" w:bidi="hi-IN"/>
        </w:rPr>
        <w:t>Corregedora Geral do Ministério Público</w:t>
      </w:r>
    </w:p>
    <w:p>
      <w:pPr>
        <w:pStyle w:val="Normal"/>
        <w:jc w:val="both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701" w:right="1701" w:header="720" w:top="777" w:footer="1425" w:bottom="198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Century Gothic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tabs>
        <w:tab w:val="center" w:pos="4252" w:leader="none"/>
        <w:tab w:val="right" w:pos="8478" w:leader="none"/>
        <w:tab w:val="right" w:pos="8504" w:leader="none"/>
      </w:tabs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8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eRodap"/>
      <w:bidi w:val="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4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18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21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25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28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32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36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</w:abstractNum>
  <w:abstractNum w:abstractNumId="2">
    <w:lvl w:ilvl="0">
      <w:start w:val="2"/>
      <w:numFmt w:val="decimal"/>
      <w:lvlText w:val="%1)"/>
      <w:lvlJc w:val="left"/>
      <w:pPr>
        <w:ind w:left="7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4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18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21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25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28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32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36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w w:val="100"/>
        <w:emboss w:val="false"/>
        <w:imprint w:val="fals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color w:val="00000A"/>
        <w:lang w:val="pt-BR" w:eastAsia="zh-CN" w:bidi="hi-IN"/>
      </w:rPr>
    </w:rPrDefault>
    <w:pPrDefault>
      <w:pPr/>
    </w:pPrDefault>
  </w:docDefaults>
  <w:style w:type="paragraph" w:styleId="Normal" w:default="1">
    <w:name w:val="Normal"/>
    <w:qFormat/>
    <w:pPr>
      <w:keepNext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0"/>
      <w:vertAlign w:val="baseline"/>
      <w:lang w:val="pt-PT" w:eastAsia="en-US" w:bidi="ar-SA"/>
    </w:rPr>
  </w:style>
  <w:style w:type="character" w:styleId="DefaultParagraphFont" w:default="1">
    <w:name w:val="Default Paragraph Font"/>
    <w:qFormat/>
    <w:rPr/>
  </w:style>
  <w:style w:type="character" w:styleId="LinkdaInternet">
    <w:name w:val="Link da Internet"/>
    <w:rPr>
      <w:u w:val="single" w:color="00000A"/>
    </w:rPr>
  </w:style>
  <w:style w:type="character" w:styleId="ListLabel1">
    <w:name w:val="ListLabel 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">
    <w:name w:val="ListLabel 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">
    <w:name w:val="ListLabel 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">
    <w:name w:val="ListLabel 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">
    <w:name w:val="ListLabel 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">
    <w:name w:val="ListLabel 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">
    <w:name w:val="ListLabel 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">
    <w:name w:val="ListLabel 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">
    <w:name w:val="ListLabel 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">
    <w:name w:val="ListLabel 1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">
    <w:name w:val="ListLabel 1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">
    <w:name w:val="ListLabel 1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">
    <w:name w:val="ListLabel 1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">
    <w:name w:val="ListLabel 1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5">
    <w:name w:val="ListLabel 1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6">
    <w:name w:val="ListLabel 1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7">
    <w:name w:val="ListLabel 1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8">
    <w:name w:val="ListLabel 1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9">
    <w:name w:val="ListLabel 1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0">
    <w:name w:val="ListLabel 2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1">
    <w:name w:val="ListLabel 2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2">
    <w:name w:val="ListLabel 2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3">
    <w:name w:val="ListLabel 2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4">
    <w:name w:val="ListLabel 2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5">
    <w:name w:val="ListLabel 2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6">
    <w:name w:val="ListLabel 2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7">
    <w:name w:val="ListLabel 2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8">
    <w:name w:val="ListLabel 2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29">
    <w:name w:val="ListLabel 2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0">
    <w:name w:val="ListLabel 3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1">
    <w:name w:val="ListLabel 3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2">
    <w:name w:val="ListLabel 3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3">
    <w:name w:val="ListLabel 3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4">
    <w:name w:val="ListLabel 3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5">
    <w:name w:val="ListLabel 3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6">
    <w:name w:val="ListLabel 3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7">
    <w:name w:val="ListLabel 3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8">
    <w:name w:val="ListLabel 3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39">
    <w:name w:val="ListLabel 3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0">
    <w:name w:val="ListLabel 4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1">
    <w:name w:val="ListLabel 4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2">
    <w:name w:val="ListLabel 4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3">
    <w:name w:val="ListLabel 4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4">
    <w:name w:val="ListLabel 4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5">
    <w:name w:val="ListLabel 4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6">
    <w:name w:val="ListLabel 4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7">
    <w:name w:val="ListLabel 4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8">
    <w:name w:val="ListLabel 4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49">
    <w:name w:val="ListLabel 4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0">
    <w:name w:val="ListLabel 5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1">
    <w:name w:val="ListLabel 5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2">
    <w:name w:val="ListLabel 5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3">
    <w:name w:val="ListLabel 5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4">
    <w:name w:val="ListLabel 5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5">
    <w:name w:val="ListLabel 5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6">
    <w:name w:val="ListLabel 5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7">
    <w:name w:val="ListLabel 5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8">
    <w:name w:val="ListLabel 5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59">
    <w:name w:val="ListLabel 5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0">
    <w:name w:val="ListLabel 6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1">
    <w:name w:val="ListLabel 6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2">
    <w:name w:val="ListLabel 6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3">
    <w:name w:val="ListLabel 6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4">
    <w:name w:val="ListLabel 6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5">
    <w:name w:val="ListLabel 6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6">
    <w:name w:val="ListLabel 6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7">
    <w:name w:val="ListLabel 6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8">
    <w:name w:val="ListLabel 6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69">
    <w:name w:val="ListLabel 6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0">
    <w:name w:val="ListLabel 7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1">
    <w:name w:val="ListLabel 7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2">
    <w:name w:val="ListLabel 7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3">
    <w:name w:val="ListLabel 7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4">
    <w:name w:val="ListLabel 7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5">
    <w:name w:val="ListLabel 7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6">
    <w:name w:val="ListLabel 7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7">
    <w:name w:val="ListLabel 7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8">
    <w:name w:val="ListLabel 7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79">
    <w:name w:val="ListLabel 7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0">
    <w:name w:val="ListLabel 8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1">
    <w:name w:val="ListLabel 8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2">
    <w:name w:val="ListLabel 8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3">
    <w:name w:val="ListLabel 8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4">
    <w:name w:val="ListLabel 8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5">
    <w:name w:val="ListLabel 8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6">
    <w:name w:val="ListLabel 8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7">
    <w:name w:val="ListLabel 8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8">
    <w:name w:val="ListLabel 8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89">
    <w:name w:val="ListLabel 8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0">
    <w:name w:val="ListLabel 9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1">
    <w:name w:val="ListLabel 9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2">
    <w:name w:val="ListLabel 9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3">
    <w:name w:val="ListLabel 9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4">
    <w:name w:val="ListLabel 9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5">
    <w:name w:val="ListLabel 9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6">
    <w:name w:val="ListLabel 9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7">
    <w:name w:val="ListLabel 9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8">
    <w:name w:val="ListLabel 9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99">
    <w:name w:val="ListLabel 9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0">
    <w:name w:val="ListLabel 10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1">
    <w:name w:val="ListLabel 10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2">
    <w:name w:val="ListLabel 10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3">
    <w:name w:val="ListLabel 10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4">
    <w:name w:val="ListLabel 10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5">
    <w:name w:val="ListLabel 10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6">
    <w:name w:val="ListLabel 10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7">
    <w:name w:val="ListLabel 10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8">
    <w:name w:val="ListLabel 10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09">
    <w:name w:val="ListLabel 10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0">
    <w:name w:val="ListLabel 11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1">
    <w:name w:val="ListLabel 11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2">
    <w:name w:val="ListLabel 11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3">
    <w:name w:val="ListLabel 11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4">
    <w:name w:val="ListLabel 11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5">
    <w:name w:val="ListLabel 11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6">
    <w:name w:val="ListLabel 11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7">
    <w:name w:val="ListLabel 11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8">
    <w:name w:val="ListLabel 11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19">
    <w:name w:val="ListLabel 11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0">
    <w:name w:val="ListLabel 12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1">
    <w:name w:val="ListLabel 12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2">
    <w:name w:val="ListLabel 12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3">
    <w:name w:val="ListLabel 12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4">
    <w:name w:val="ListLabel 12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5">
    <w:name w:val="ListLabel 12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6">
    <w:name w:val="ListLabel 12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7">
    <w:name w:val="ListLabel 12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8">
    <w:name w:val="ListLabel 12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29">
    <w:name w:val="ListLabel 12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0">
    <w:name w:val="ListLabel 13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1">
    <w:name w:val="ListLabel 13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2">
    <w:name w:val="ListLabel 13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3">
    <w:name w:val="ListLabel 13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4">
    <w:name w:val="ListLabel 13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5">
    <w:name w:val="ListLabel 13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6">
    <w:name w:val="ListLabel 13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7">
    <w:name w:val="ListLabel 13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8">
    <w:name w:val="ListLabel 13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39">
    <w:name w:val="ListLabel 13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0">
    <w:name w:val="ListLabel 14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1">
    <w:name w:val="ListLabel 14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2">
    <w:name w:val="ListLabel 14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3">
    <w:name w:val="ListLabel 14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4">
    <w:name w:val="ListLabel 144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5">
    <w:name w:val="ListLabel 145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6">
    <w:name w:val="ListLabel 146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7">
    <w:name w:val="ListLabel 147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8">
    <w:name w:val="ListLabel 148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49">
    <w:name w:val="ListLabel 149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50">
    <w:name w:val="ListLabel 150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51">
    <w:name w:val="ListLabel 151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52">
    <w:name w:val="ListLabel 152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character" w:styleId="ListLabel153">
    <w:name w:val="ListLabel 153"/>
    <w:qFormat/>
    <w:rPr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z w:val="24"/>
      <w:vertAlign w:val="baseline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qFormat/>
    <w:pPr>
      <w:keepNext/>
      <w:keepLines w:val="false"/>
      <w:pageBreakBefore w:val="false"/>
      <w:widowControl/>
      <w:shd w:val="clear" w:color="auto" w:fill="auto"/>
      <w:tabs>
        <w:tab w:val="right" w:pos="9020" w:leader="none"/>
      </w:tabs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A"/>
      <w:vertAlign w:val="baseline"/>
      <w:lang w:val="pt-BR" w:eastAsia="zh-CN" w:bidi="hi-IN"/>
    </w:rPr>
  </w:style>
  <w:style w:type="paragraph" w:styleId="Rodap">
    <w:name w:val="Footer"/>
    <w:basedOn w:val="Normal"/>
    <w:pPr>
      <w:keepNext/>
      <w:keepLines w:val="false"/>
      <w:pageBreakBefore w:val="false"/>
      <w:widowControl w:val="false"/>
      <w:shd w:val="clear" w:color="auto" w:fill="auto"/>
      <w:tabs>
        <w:tab w:val="center" w:pos="4252" w:leader="none"/>
        <w:tab w:val="right" w:pos="8504" w:leader="none"/>
      </w:tabs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position w:val="0"/>
      <w:sz w:val="24"/>
      <w:sz w:val="24"/>
      <w:szCs w:val="24"/>
      <w:u w:val="none" w:color="000000"/>
      <w:vertAlign w:val="baseline"/>
      <w:lang w:val="pt-PT"/>
    </w:rPr>
  </w:style>
  <w:style w:type="paragraph" w:styleId="Contedodetabela">
    <w:name w:val="Conteúdo de tabela"/>
    <w:qFormat/>
    <w:pPr>
      <w:keepNext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0"/>
      <w:vertAlign w:val="baseline"/>
      <w:lang w:val="pt-PT" w:eastAsia="zh-CN" w:bidi="hi-IN"/>
    </w:rPr>
  </w:style>
  <w:style w:type="paragraph" w:styleId="Rule">
    <w:name w:val="Rule"/>
    <w:qFormat/>
    <w:pPr>
      <w:keepNext/>
      <w:keepLines w:val="false"/>
      <w:pageBreakBefore w:val="false"/>
      <w:widowControl/>
      <w:pBdr>
        <w:bottom w:val="single" w:sz="4" w:space="0" w:color="808080"/>
      </w:pBdr>
      <w:shd w:val="clear" w:color="auto" w:fill="auto"/>
      <w:suppressAutoHyphens w:val="false"/>
      <w:bidi w:val="0"/>
      <w:spacing w:lineRule="auto" w:line="240" w:before="0" w:after="240"/>
      <w:ind w:left="0" w:right="0" w:hanging="0"/>
      <w:jc w:val="left"/>
    </w:pPr>
    <w:rPr>
      <w:rFonts w:ascii="Century Gothic" w:hAnsi="Century Gothic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16"/>
      <w:sz w:val="16"/>
      <w:szCs w:val="16"/>
      <w:u w:val="none" w:color="000000"/>
      <w:vertAlign w:val="baseline"/>
      <w:lang w:val="pt-PT" w:eastAsia="zh-CN" w:bidi="hi-IN"/>
    </w:rPr>
  </w:style>
  <w:style w:type="paragraph" w:styleId="Contedodatabela">
    <w:name w:val="Conteúdo da tabela"/>
    <w:basedOn w:val="Normal"/>
    <w:qFormat/>
    <w:pPr>
      <w:keepNext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position w:val="0"/>
      <w:sz w:val="24"/>
      <w:sz w:val="24"/>
      <w:szCs w:val="24"/>
      <w:u w:val="none" w:color="000000"/>
      <w:vertAlign w:val="baseline"/>
      <w:lang w:val="pt-PT"/>
    </w:rPr>
  </w:style>
  <w:style w:type="paragraph" w:styleId="Notaderodap">
    <w:name w:val="Footnote Text"/>
    <w:basedOn w:val="Normal"/>
    <w:pPr>
      <w:keepNext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left="283" w:right="0" w:hanging="283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position w:val="0"/>
      <w:sz w:val="20"/>
      <w:sz w:val="20"/>
      <w:szCs w:val="20"/>
      <w:u w:val="none" w:color="000000"/>
      <w:vertAlign w:val="baseline"/>
      <w:lang w:val="pt-PT"/>
    </w:rPr>
  </w:style>
  <w:style w:type="paragraph" w:styleId="Cabealho">
    <w:name w:val="Header"/>
    <w:basedOn w:val="Normal"/>
    <w:pPr/>
    <w:rPr/>
  </w:style>
  <w:style w:type="numbering" w:styleId="NoList" w:default="1">
    <w:name w:val="No List"/>
    <w:qFormat/>
  </w:style>
  <w:style w:type="numbering" w:styleId="EstiloImportado1">
    <w:name w:val="Estilo Importado 1"/>
    <w:qFormat/>
  </w:style>
  <w:style w:type="numbering" w:styleId="EstiloImportado2">
    <w:name w:val="Estilo Importado 2"/>
    <w:qFormat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212</TotalTime>
  <Application>LibreOffice/5.2.4.2$Windows_x86 LibreOffice_project/3d5603e1122f0f102b62521720ab13a38a4e0eb0</Application>
  <Pages>8</Pages>
  <Words>1617</Words>
  <Characters>8591</Characters>
  <CharactersWithSpaces>10548</CharactersWithSpaces>
  <Paragraphs>164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2019-10-08T11:50:44Z</cp:lastPrinted>
  <dcterms:modified xsi:type="dcterms:W3CDTF">2019-12-04T10:14:03Z</dcterms:modified>
  <cp:revision>23</cp:revision>
  <dc:subject/>
  <dc:title/>
</cp:coreProperties>
</file>